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黑体" w:hAnsi="黑体" w:eastAsia="黑体"/>
          <w:b/>
          <w:bCs/>
          <w:sz w:val="36"/>
          <w:szCs w:val="36"/>
        </w:rPr>
      </w:pPr>
      <w:r>
        <w:rPr>
          <w:rFonts w:hint="eastAsia" w:ascii="黑体" w:hAnsi="黑体" w:eastAsia="黑体"/>
          <w:b/>
          <w:bCs/>
          <w:sz w:val="36"/>
          <w:szCs w:val="36"/>
        </w:rPr>
        <w:t>基于AI人工智能的病历书写与智能分析系统</w:t>
      </w:r>
    </w:p>
    <w:p>
      <w:pPr>
        <w:ind w:firstLine="0" w:firstLineChars="0"/>
        <w:rPr>
          <w:rFonts w:hint="eastAsia"/>
        </w:rPr>
      </w:pPr>
    </w:p>
    <w:p>
      <w:pPr>
        <w:ind w:firstLine="0" w:firstLineChars="0"/>
        <w:rPr>
          <w:rFonts w:hint="eastAsia"/>
        </w:rPr>
      </w:pPr>
    </w:p>
    <w:p>
      <w:pPr>
        <w:pStyle w:val="4"/>
        <w:rPr>
          <w:rFonts w:hint="eastAsia"/>
        </w:rPr>
      </w:pPr>
      <w:r>
        <w:t>项目内容</w:t>
      </w:r>
    </w:p>
    <w:p>
      <w:pPr>
        <w:rPr>
          <w:rFonts w:hint="eastAsia"/>
        </w:rPr>
      </w:pPr>
    </w:p>
    <w:tbl>
      <w:tblPr>
        <w:tblStyle w:val="24"/>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1718"/>
        <w:gridCol w:w="1312"/>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980" w:type="dxa"/>
            <w:tcBorders>
              <w:top w:val="single" w:color="auto" w:sz="4" w:space="0"/>
              <w:left w:val="single" w:color="auto" w:sz="4" w:space="0"/>
              <w:right w:val="single" w:color="auto" w:sz="4" w:space="0"/>
            </w:tcBorders>
            <w:vAlign w:val="center"/>
          </w:tcPr>
          <w:p>
            <w:pPr>
              <w:widowControl/>
              <w:ind w:firstLine="0" w:firstLineChars="0"/>
              <w:jc w:val="center"/>
              <w:rPr>
                <w:rFonts w:hint="eastAsia"/>
                <w:b/>
                <w:bCs/>
                <w:kern w:val="0"/>
                <w:sz w:val="21"/>
                <w:szCs w:val="21"/>
              </w:rPr>
            </w:pPr>
            <w:r>
              <w:rPr>
                <w:b/>
                <w:bCs/>
                <w:kern w:val="0"/>
                <w:sz w:val="21"/>
                <w:szCs w:val="21"/>
              </w:rPr>
              <w:t>名称</w:t>
            </w:r>
          </w:p>
        </w:tc>
        <w:tc>
          <w:tcPr>
            <w:tcW w:w="1701" w:type="dxa"/>
            <w:tcBorders>
              <w:top w:val="single" w:color="auto" w:sz="4" w:space="0"/>
              <w:left w:val="single" w:color="auto" w:sz="4" w:space="0"/>
              <w:right w:val="single" w:color="auto" w:sz="4" w:space="0"/>
            </w:tcBorders>
            <w:vAlign w:val="center"/>
          </w:tcPr>
          <w:p>
            <w:pPr>
              <w:ind w:firstLine="0" w:firstLineChars="0"/>
              <w:jc w:val="center"/>
              <w:rPr>
                <w:rFonts w:hint="eastAsia"/>
                <w:b/>
                <w:bCs/>
                <w:kern w:val="0"/>
                <w:sz w:val="21"/>
                <w:szCs w:val="21"/>
              </w:rPr>
            </w:pPr>
            <w:r>
              <w:rPr>
                <w:b/>
                <w:bCs/>
                <w:kern w:val="0"/>
                <w:sz w:val="21"/>
                <w:szCs w:val="21"/>
              </w:rPr>
              <w:t>最高限价</w:t>
            </w:r>
          </w:p>
        </w:tc>
        <w:tc>
          <w:tcPr>
            <w:tcW w:w="1718" w:type="dxa"/>
            <w:tcBorders>
              <w:top w:val="single" w:color="auto" w:sz="4" w:space="0"/>
              <w:left w:val="single" w:color="auto" w:sz="4" w:space="0"/>
              <w:right w:val="single" w:color="auto" w:sz="4" w:space="0"/>
            </w:tcBorders>
            <w:vAlign w:val="center"/>
          </w:tcPr>
          <w:p>
            <w:pPr>
              <w:ind w:firstLine="0" w:firstLineChars="0"/>
              <w:jc w:val="center"/>
              <w:rPr>
                <w:rFonts w:hint="eastAsia"/>
                <w:b/>
                <w:bCs/>
                <w:kern w:val="0"/>
                <w:sz w:val="21"/>
                <w:szCs w:val="21"/>
              </w:rPr>
            </w:pPr>
            <w:r>
              <w:rPr>
                <w:b/>
                <w:bCs/>
                <w:kern w:val="0"/>
                <w:sz w:val="21"/>
                <w:szCs w:val="21"/>
              </w:rPr>
              <w:t>成交供应商数量</w:t>
            </w:r>
          </w:p>
        </w:tc>
        <w:tc>
          <w:tcPr>
            <w:tcW w:w="1312" w:type="dxa"/>
            <w:tcBorders>
              <w:top w:val="single" w:color="auto" w:sz="4" w:space="0"/>
              <w:left w:val="single" w:color="auto" w:sz="4" w:space="0"/>
              <w:right w:val="single" w:color="auto" w:sz="4" w:space="0"/>
            </w:tcBorders>
            <w:vAlign w:val="center"/>
          </w:tcPr>
          <w:p>
            <w:pPr>
              <w:ind w:firstLine="0" w:firstLineChars="0"/>
              <w:jc w:val="center"/>
              <w:rPr>
                <w:rFonts w:hint="eastAsia"/>
                <w:b/>
                <w:bCs/>
                <w:kern w:val="0"/>
                <w:sz w:val="21"/>
                <w:szCs w:val="21"/>
              </w:rPr>
            </w:pPr>
            <w:r>
              <w:rPr>
                <w:b/>
                <w:bCs/>
                <w:kern w:val="0"/>
                <w:sz w:val="21"/>
                <w:szCs w:val="21"/>
              </w:rPr>
              <w:t>磋商保证金</w:t>
            </w:r>
          </w:p>
        </w:tc>
        <w:tc>
          <w:tcPr>
            <w:tcW w:w="1896" w:type="dxa"/>
            <w:tcBorders>
              <w:top w:val="single" w:color="auto" w:sz="4" w:space="0"/>
              <w:left w:val="single" w:color="auto" w:sz="4" w:space="0"/>
              <w:right w:val="single" w:color="auto" w:sz="4" w:space="0"/>
            </w:tcBorders>
            <w:vAlign w:val="center"/>
          </w:tcPr>
          <w:p>
            <w:pPr>
              <w:ind w:firstLine="0" w:firstLineChars="0"/>
              <w:jc w:val="center"/>
              <w:rPr>
                <w:rFonts w:hint="eastAsia"/>
                <w:b/>
                <w:bCs/>
                <w:kern w:val="0"/>
                <w:sz w:val="21"/>
                <w:szCs w:val="21"/>
              </w:rPr>
            </w:pPr>
            <w:r>
              <w:rPr>
                <w:b/>
                <w:bCs/>
                <w:kern w:val="0"/>
                <w:sz w:val="21"/>
                <w:szCs w:val="21"/>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sz w:val="21"/>
                <w:szCs w:val="21"/>
              </w:rPr>
            </w:pPr>
            <w:bookmarkStart w:id="0" w:name="_Hlk344477914"/>
            <w:r>
              <w:rPr>
                <w:rFonts w:hint="eastAsia"/>
                <w:sz w:val="21"/>
                <w:szCs w:val="21"/>
              </w:rPr>
              <w:t>基于AI人工智能的病历书写与智能分析系统</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kern w:val="0"/>
                <w:sz w:val="21"/>
                <w:szCs w:val="21"/>
              </w:rPr>
            </w:pPr>
            <w:r>
              <w:rPr>
                <w:rFonts w:hint="eastAsia"/>
                <w:kern w:val="0"/>
                <w:sz w:val="21"/>
                <w:szCs w:val="21"/>
              </w:rPr>
              <w:t>200万</w:t>
            </w:r>
          </w:p>
        </w:tc>
        <w:tc>
          <w:tcPr>
            <w:tcW w:w="171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kern w:val="0"/>
                <w:sz w:val="21"/>
                <w:szCs w:val="21"/>
              </w:rPr>
            </w:pPr>
            <w:r>
              <w:rPr>
                <w:rFonts w:hint="eastAsia"/>
                <w:kern w:val="0"/>
                <w:sz w:val="21"/>
                <w:szCs w:val="21"/>
              </w:rPr>
              <w:t>1</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kern w:val="0"/>
                <w:sz w:val="21"/>
                <w:szCs w:val="21"/>
              </w:rPr>
            </w:pPr>
          </w:p>
        </w:tc>
        <w:tc>
          <w:tcPr>
            <w:tcW w:w="189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sz w:val="21"/>
                <w:szCs w:val="21"/>
              </w:rPr>
            </w:pPr>
            <w:r>
              <w:rPr>
                <w:rFonts w:hint="eastAsia"/>
                <w:sz w:val="21"/>
                <w:szCs w:val="21"/>
              </w:rPr>
              <w:t>软件和信息技术服务业</w:t>
            </w:r>
          </w:p>
        </w:tc>
      </w:tr>
      <w:bookmarkEnd w:id="0"/>
    </w:tbl>
    <w:p>
      <w:pPr>
        <w:rPr>
          <w:rFonts w:hint="eastAsia"/>
        </w:rPr>
      </w:pPr>
    </w:p>
    <w:p>
      <w:pPr>
        <w:pStyle w:val="4"/>
        <w:rPr>
          <w:rFonts w:hint="eastAsia"/>
        </w:rPr>
      </w:pPr>
      <w:r>
        <w:rPr>
          <w:rFonts w:hint="eastAsia"/>
        </w:rPr>
        <w:t>资格条件</w:t>
      </w:r>
    </w:p>
    <w:p>
      <w:pPr>
        <w:wordWrap w:val="0"/>
        <w:rPr>
          <w:rFonts w:hint="eastAsia"/>
        </w:rPr>
      </w:pPr>
      <w:bookmarkStart w:id="1" w:name="_Toc474603900"/>
      <w:r>
        <w:t>（一）</w:t>
      </w:r>
      <w:bookmarkEnd w:id="1"/>
      <w:r>
        <w:rPr>
          <w:rFonts w:hint="eastAsia"/>
        </w:rPr>
        <w:t>满足《中华人民共和国政府采购法》第二十二条规定；</w:t>
      </w:r>
    </w:p>
    <w:p>
      <w:pPr>
        <w:wordWrap w:val="0"/>
        <w:rPr>
          <w:rFonts w:hint="eastAsia"/>
        </w:rPr>
      </w:pPr>
      <w:r>
        <w:t>（</w:t>
      </w:r>
      <w:r>
        <w:rPr>
          <w:rFonts w:hint="eastAsia"/>
        </w:rPr>
        <w:t>二</w:t>
      </w:r>
      <w:r>
        <w:t>）落实政府采购政策需满足的资格要求：无</w:t>
      </w:r>
      <w:r>
        <w:rPr>
          <w:rFonts w:hint="eastAsia"/>
        </w:rPr>
        <w:t>；</w:t>
      </w:r>
    </w:p>
    <w:p>
      <w:pPr>
        <w:wordWrap w:val="0"/>
        <w:rPr>
          <w:rFonts w:hint="eastAsia"/>
        </w:rPr>
      </w:pPr>
      <w:bookmarkStart w:id="2" w:name="_Toc474603901"/>
      <w:r>
        <w:t>（</w:t>
      </w:r>
      <w:r>
        <w:rPr>
          <w:rFonts w:hint="eastAsia"/>
        </w:rPr>
        <w:t>三</w:t>
      </w:r>
      <w:r>
        <w:t>）</w:t>
      </w:r>
      <w:r>
        <w:rPr>
          <w:rFonts w:hint="eastAsia"/>
        </w:rPr>
        <w:t>本项目的特定资格要求：</w:t>
      </w:r>
      <w:bookmarkEnd w:id="2"/>
      <w:r>
        <w:t>无</w:t>
      </w:r>
      <w:r>
        <w:rPr>
          <w:rFonts w:hint="eastAsia"/>
        </w:rPr>
        <w:t>；</w:t>
      </w:r>
    </w:p>
    <w:p>
      <w:pPr>
        <w:pStyle w:val="4"/>
        <w:rPr>
          <w:rFonts w:hint="eastAsia"/>
        </w:rPr>
      </w:pPr>
      <w:r>
        <w:rPr>
          <w:rFonts w:hint="eastAsia"/>
        </w:rPr>
        <w:t>技术要求</w:t>
      </w:r>
    </w:p>
    <w:p>
      <w:pPr>
        <w:ind w:firstLine="482"/>
        <w:rPr>
          <w:rFonts w:hint="eastAsia"/>
        </w:rPr>
      </w:pPr>
      <w:r>
        <w:rPr>
          <w:b/>
          <w:bCs/>
        </w:rPr>
        <w:t>标</w:t>
      </w:r>
      <w:r>
        <w:rPr>
          <w:rFonts w:hint="eastAsia"/>
        </w:rPr>
        <w:t>※</w:t>
      </w:r>
      <w:r>
        <w:rPr>
          <w:rFonts w:hint="eastAsia"/>
          <w:b/>
          <w:bCs/>
        </w:rPr>
        <w:t>参数为符合性响应条款，不满足则废标。</w:t>
      </w:r>
    </w:p>
    <w:p>
      <w:pPr>
        <w:ind w:firstLine="482"/>
        <w:rPr>
          <w:rFonts w:hint="eastAsia"/>
          <w:b/>
          <w:bCs/>
        </w:rPr>
      </w:pPr>
      <w:r>
        <w:rPr>
          <w:rFonts w:hint="eastAsia"/>
          <w:b/>
          <w:bCs/>
        </w:rPr>
        <w:t>标▲参数为重要参数，需提供对应系统功能截图，按响应评分标准评分。</w:t>
      </w:r>
    </w:p>
    <w:p>
      <w:pPr>
        <w:ind w:firstLine="482"/>
        <w:rPr>
          <w:rFonts w:hint="eastAsia"/>
          <w:b/>
          <w:bCs/>
        </w:rPr>
      </w:pPr>
      <w:r>
        <w:rPr>
          <w:b/>
          <w:bCs/>
        </w:rPr>
        <w:t>标</w:t>
      </w:r>
      <w:r>
        <w:rPr>
          <w:rFonts w:hint="eastAsia" w:cs="Times New Roman"/>
          <w:kern w:val="0"/>
          <w:lang w:bidi="ar"/>
        </w:rPr>
        <w:t>★</w:t>
      </w:r>
      <w:r>
        <w:rPr>
          <w:rFonts w:hint="eastAsia"/>
          <w:b/>
          <w:bCs/>
        </w:rPr>
        <w:t>参数为核心参数，</w:t>
      </w:r>
      <w:r>
        <w:rPr>
          <w:b/>
          <w:bCs/>
        </w:rPr>
        <w:t>需提供真实系统操作演示</w:t>
      </w:r>
      <w:r>
        <w:rPr>
          <w:rFonts w:hint="eastAsia"/>
          <w:b/>
          <w:bCs/>
        </w:rPr>
        <w:t>或</w:t>
      </w:r>
      <w:r>
        <w:rPr>
          <w:b/>
          <w:bCs/>
        </w:rPr>
        <w:t>录屏</w:t>
      </w:r>
      <w:r>
        <w:rPr>
          <w:rFonts w:hint="eastAsia"/>
          <w:b/>
          <w:bCs/>
        </w:rPr>
        <w:t>，按响应评分标准评分。</w:t>
      </w:r>
    </w:p>
    <w:p>
      <w:pPr>
        <w:ind w:firstLine="0" w:firstLineChars="0"/>
        <w:rPr>
          <w:rFonts w:hint="eastAsia"/>
        </w:rPr>
      </w:pPr>
    </w:p>
    <w:p>
      <w:pPr>
        <w:pStyle w:val="6"/>
        <w:rPr>
          <w:rFonts w:hint="eastAsia"/>
        </w:rPr>
      </w:pPr>
      <w:r>
        <w:rPr>
          <w:rFonts w:hint="eastAsia"/>
        </w:rPr>
        <w:t>项目情况概述</w:t>
      </w:r>
    </w:p>
    <w:p>
      <w:pPr>
        <w:rPr>
          <w:rFonts w:hint="eastAsia"/>
        </w:rPr>
      </w:pPr>
      <w:r>
        <w:rPr>
          <w:rFonts w:hint="eastAsia"/>
        </w:rPr>
        <w:t>本项目以切实减轻一线医护负担和提高医疗病历质量为核心驱动力，深度融合专属医疗大模型、知识图谱与多Agent 架构，构建AI语音病历系统，致力于实现从单一的“传统文书工具”到“临床决策辅助工具”的跨代跃迁。系统聚焦医生病历书写占用大量时间、传统语音转写需二次人工整理，以及临床风险信息容易遗漏等核心痛点，通过“AI 语音病历”与“AI 病案首页质控”双赋能，实现提升病历书写效率、提高病案首页规范与内涵质量、辅助临床决策与防范医疗风险的整体建设目标。</w:t>
      </w:r>
    </w:p>
    <w:p>
      <w:pPr>
        <w:ind w:firstLine="0" w:firstLineChars="0"/>
        <w:rPr>
          <w:rFonts w:hint="eastAsia"/>
        </w:rPr>
      </w:pPr>
    </w:p>
    <w:p>
      <w:pPr>
        <w:pStyle w:val="6"/>
        <w:rPr>
          <w:rFonts w:hint="eastAsia"/>
        </w:rPr>
      </w:pPr>
      <w:r>
        <w:rPr>
          <w:rFonts w:hint="eastAsia"/>
        </w:rPr>
        <w:t>招标一览表及总体技术要求</w:t>
      </w:r>
    </w:p>
    <w:p>
      <w:pPr>
        <w:pStyle w:val="7"/>
        <w:rPr>
          <w:rFonts w:hint="eastAsia"/>
        </w:rPr>
      </w:pPr>
      <w:r>
        <w:rPr>
          <w:rFonts w:hint="eastAsia"/>
        </w:rPr>
        <w:t>总体技术要求</w:t>
      </w:r>
    </w:p>
    <w:p>
      <w:pPr>
        <w:widowControl/>
        <w:numPr>
          <w:ilvl w:val="0"/>
          <w:numId w:val="2"/>
        </w:numPr>
        <w:ind w:firstLine="480"/>
        <w:jc w:val="left"/>
        <w:rPr>
          <w:rFonts w:hint="eastAsia"/>
        </w:rPr>
      </w:pPr>
      <w:r>
        <w:t>接口要求</w:t>
      </w:r>
    </w:p>
    <w:p>
      <w:pPr>
        <w:widowControl/>
        <w:numPr>
          <w:ilvl w:val="1"/>
          <w:numId w:val="2"/>
        </w:numPr>
        <w:ind w:firstLine="480"/>
        <w:jc w:val="left"/>
        <w:rPr>
          <w:rFonts w:hint="eastAsia"/>
        </w:rPr>
      </w:pPr>
      <w:r>
        <w:t>符合卫计委颁布的《医院信息系统功能基本规范》</w:t>
      </w:r>
      <w:r>
        <w:rPr>
          <w:rFonts w:hint="eastAsia"/>
        </w:rPr>
        <w:t>；</w:t>
      </w:r>
    </w:p>
    <w:p>
      <w:pPr>
        <w:widowControl/>
        <w:numPr>
          <w:ilvl w:val="1"/>
          <w:numId w:val="2"/>
        </w:numPr>
        <w:ind w:firstLine="480"/>
        <w:jc w:val="left"/>
        <w:rPr>
          <w:rFonts w:hint="eastAsia"/>
        </w:rPr>
      </w:pPr>
      <w:r>
        <w:t>符合卫计委颁布的《电子病历系统功能规范（试行）》</w:t>
      </w:r>
      <w:r>
        <w:rPr>
          <w:rFonts w:hint="eastAsia"/>
        </w:rPr>
        <w:t>；</w:t>
      </w:r>
    </w:p>
    <w:p>
      <w:pPr>
        <w:widowControl/>
        <w:numPr>
          <w:ilvl w:val="1"/>
          <w:numId w:val="2"/>
        </w:numPr>
        <w:ind w:firstLine="480"/>
        <w:jc w:val="left"/>
        <w:rPr>
          <w:rFonts w:hint="eastAsia"/>
        </w:rPr>
      </w:pPr>
      <w:r>
        <w:t>符合卫计委颁发的《电子病历系统功能应用水平分级评价方法及标准（试行）》</w:t>
      </w:r>
      <w:r>
        <w:rPr>
          <w:rFonts w:hint="eastAsia"/>
        </w:rPr>
        <w:t>；</w:t>
      </w:r>
    </w:p>
    <w:p>
      <w:pPr>
        <w:widowControl/>
        <w:numPr>
          <w:ilvl w:val="1"/>
          <w:numId w:val="2"/>
        </w:numPr>
        <w:ind w:firstLine="480"/>
        <w:jc w:val="left"/>
        <w:rPr>
          <w:rFonts w:hint="eastAsia"/>
        </w:rPr>
      </w:pPr>
      <w:r>
        <w:t>能够与医院住院电子病历对接，获取电子病历中的数据内容，包括但不限于主诉、现病史、既往史等信息。可以将辅助诊疗的信息，写回到电子病历，包括但不限于鉴别诊断信息、检查项目、用药和手术方案信息、评估表等</w:t>
      </w:r>
      <w:r>
        <w:rPr>
          <w:rFonts w:hint="eastAsia"/>
        </w:rPr>
        <w:t>；</w:t>
      </w:r>
    </w:p>
    <w:p>
      <w:pPr>
        <w:widowControl/>
        <w:numPr>
          <w:ilvl w:val="1"/>
          <w:numId w:val="2"/>
        </w:numPr>
        <w:ind w:firstLine="480"/>
        <w:jc w:val="left"/>
        <w:rPr>
          <w:rFonts w:hint="eastAsia"/>
        </w:rPr>
      </w:pPr>
      <w:r>
        <w:t>能够与医院集成平台对接，获取集成平台中的数据内容，包括但不限于患者检验结果、检查报告、医嘱内容等</w:t>
      </w:r>
      <w:r>
        <w:rPr>
          <w:rFonts w:hint="eastAsia"/>
        </w:rPr>
        <w:t>；</w:t>
      </w:r>
    </w:p>
    <w:p>
      <w:pPr>
        <w:widowControl/>
        <w:numPr>
          <w:ilvl w:val="1"/>
          <w:numId w:val="2"/>
        </w:numPr>
        <w:ind w:firstLine="480"/>
        <w:jc w:val="left"/>
        <w:rPr>
          <w:rFonts w:hint="eastAsia"/>
        </w:rPr>
      </w:pPr>
      <w:r>
        <w:t>能够与医院医嘱对接，获取医嘱信息，包括但不限于药品、检验、</w:t>
      </w:r>
      <w:r>
        <w:rPr>
          <w:rFonts w:hint="eastAsia"/>
        </w:rPr>
        <w:t>检</w:t>
      </w:r>
      <w:r>
        <w:t>查、手术、护理医嘱。可以自动检验检查合理化校验并给处提醒以及手术禁忌提醒等</w:t>
      </w:r>
      <w:r>
        <w:rPr>
          <w:rFonts w:hint="eastAsia"/>
        </w:rPr>
        <w:t>；</w:t>
      </w:r>
    </w:p>
    <w:p>
      <w:pPr>
        <w:widowControl/>
        <w:numPr>
          <w:ilvl w:val="1"/>
          <w:numId w:val="2"/>
        </w:numPr>
        <w:ind w:firstLine="480"/>
        <w:jc w:val="left"/>
        <w:rPr>
          <w:rFonts w:hint="eastAsia"/>
        </w:rPr>
      </w:pPr>
      <w:r>
        <w:t>能够与医院门</w:t>
      </w:r>
      <w:r>
        <w:rPr>
          <w:rFonts w:hint="eastAsia"/>
        </w:rPr>
        <w:t>/</w:t>
      </w:r>
      <w:r>
        <w:t>急诊系统对接，通过主诉智能提示疑似诊断，明确诊断的推荐治疗方案。</w:t>
      </w:r>
    </w:p>
    <w:p>
      <w:pPr>
        <w:widowControl/>
        <w:numPr>
          <w:ilvl w:val="0"/>
          <w:numId w:val="2"/>
        </w:numPr>
        <w:ind w:firstLine="480"/>
        <w:jc w:val="left"/>
        <w:rPr>
          <w:rFonts w:hint="eastAsia"/>
        </w:rPr>
      </w:pPr>
      <w:r>
        <w:t>性能要求：提供不同级别，不同故障情况下的应用系统的应急预案（指技术实现方案）。避免因计算机故障导致的医疗工作的延迟和医疗差错。</w:t>
      </w:r>
    </w:p>
    <w:p>
      <w:pPr>
        <w:widowControl/>
        <w:numPr>
          <w:ilvl w:val="0"/>
          <w:numId w:val="2"/>
        </w:numPr>
        <w:ind w:firstLine="480"/>
        <w:jc w:val="left"/>
        <w:rPr>
          <w:rFonts w:hint="eastAsia"/>
        </w:rPr>
      </w:pPr>
      <w:r>
        <w:t>数据格式化要求：不需要电子病历实现结构化录入，可以从非结构化电子病历内容中，通过机器学习，自动抽取结构化信息。</w:t>
      </w:r>
    </w:p>
    <w:p>
      <w:pPr>
        <w:widowControl/>
        <w:numPr>
          <w:ilvl w:val="0"/>
          <w:numId w:val="2"/>
        </w:numPr>
        <w:ind w:firstLine="480"/>
        <w:jc w:val="left"/>
        <w:rPr>
          <w:rFonts w:hint="eastAsia"/>
        </w:rPr>
      </w:pPr>
      <w:r>
        <w:t>终端用户操作性能指标：软件系统要体现易于理解掌握、操作简单、提示清晰、逻辑性强，直观简洁、帮助信息丰富等特点，保证操作人员以最快速度和最少的击键次数完成工作。</w:t>
      </w:r>
    </w:p>
    <w:p>
      <w:pPr>
        <w:rPr>
          <w:rFonts w:hint="eastAsia"/>
          <w:color w:val="FF0000"/>
        </w:rPr>
      </w:pPr>
      <w:r>
        <w:rPr>
          <w:rFonts w:hint="eastAsia"/>
          <w:color w:val="FF0000"/>
        </w:rPr>
        <w:t>5.</w:t>
      </w:r>
      <w:bookmarkStart w:id="3" w:name="OLE_LINK13"/>
      <w:r>
        <w:rPr>
          <w:rFonts w:hint="eastAsia"/>
          <w:color w:val="FF0000"/>
        </w:rPr>
        <w:t>※</w:t>
      </w:r>
      <w:bookmarkEnd w:id="3"/>
      <w:r>
        <w:rPr>
          <w:rFonts w:hint="eastAsia"/>
          <w:color w:val="FF0000"/>
        </w:rPr>
        <w:t>中标人负责对医院使用的第三方软件(如HIS、EMR、集成平台</w:t>
      </w:r>
      <w:r>
        <w:rPr>
          <w:rFonts w:hint="eastAsia"/>
          <w:color w:val="FF0000"/>
          <w:lang w:eastAsia="zh-CN"/>
        </w:rPr>
        <w:t>、急诊系统</w:t>
      </w:r>
      <w:r>
        <w:rPr>
          <w:rFonts w:hint="eastAsia"/>
          <w:color w:val="FF0000"/>
        </w:rPr>
        <w:t>等系统）接入本次招标系统，其接口及开发费用由中标方承担，采购方负责协调第三方软件与中标方的对接。</w:t>
      </w:r>
    </w:p>
    <w:p>
      <w:pPr>
        <w:rPr>
          <w:rFonts w:hint="eastAsia"/>
          <w:color w:val="FF0000"/>
        </w:rPr>
      </w:pPr>
      <w:r>
        <w:rPr>
          <w:rFonts w:hint="eastAsia"/>
          <w:color w:val="FF0000"/>
        </w:rPr>
        <w:t>6.※本系统需实现本次建设系统按医院需求与医院原有系统的无缝集成，实现临床操作的一体化操作与信息展示。</w:t>
      </w:r>
    </w:p>
    <w:p>
      <w:pPr>
        <w:ind w:firstLine="0" w:firstLineChars="0"/>
        <w:rPr>
          <w:rFonts w:hint="eastAsia"/>
        </w:rPr>
      </w:pPr>
    </w:p>
    <w:p>
      <w:pPr>
        <w:pStyle w:val="7"/>
        <w:rPr>
          <w:rFonts w:hint="eastAsia"/>
        </w:rPr>
      </w:pPr>
      <w:r>
        <w:rPr>
          <w:rFonts w:hint="eastAsia"/>
        </w:rPr>
        <w:t>建设内容一览表</w:t>
      </w:r>
    </w:p>
    <w:tbl>
      <w:tblPr>
        <w:tblStyle w:val="24"/>
        <w:tblW w:w="7933" w:type="dxa"/>
        <w:tblInd w:w="0" w:type="dxa"/>
        <w:tblLayout w:type="fixed"/>
        <w:tblCellMar>
          <w:top w:w="0" w:type="dxa"/>
          <w:left w:w="108" w:type="dxa"/>
          <w:bottom w:w="0" w:type="dxa"/>
          <w:right w:w="108" w:type="dxa"/>
        </w:tblCellMar>
      </w:tblPr>
      <w:tblGrid>
        <w:gridCol w:w="846"/>
        <w:gridCol w:w="4111"/>
        <w:gridCol w:w="993"/>
        <w:gridCol w:w="1983"/>
      </w:tblGrid>
      <w:tr>
        <w:tblPrEx>
          <w:tblLayout w:type="fixed"/>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hint="eastAsia"/>
              </w:rPr>
            </w:pPr>
            <w:r>
              <w:rPr>
                <w:rFonts w:hint="eastAsia"/>
              </w:rPr>
              <w:t>序号</w:t>
            </w:r>
          </w:p>
        </w:tc>
        <w:tc>
          <w:tcPr>
            <w:tcW w:w="4111" w:type="dxa"/>
            <w:tcBorders>
              <w:top w:val="single" w:color="auto" w:sz="4" w:space="0"/>
              <w:left w:val="nil"/>
              <w:bottom w:val="single" w:color="auto" w:sz="4" w:space="0"/>
              <w:right w:val="single" w:color="auto" w:sz="4" w:space="0"/>
            </w:tcBorders>
            <w:vAlign w:val="center"/>
          </w:tcPr>
          <w:p>
            <w:pPr>
              <w:spacing w:line="400" w:lineRule="exact"/>
              <w:ind w:firstLine="0" w:firstLineChars="0"/>
              <w:jc w:val="center"/>
              <w:rPr>
                <w:rFonts w:hint="eastAsia"/>
              </w:rPr>
            </w:pPr>
            <w:r>
              <w:rPr>
                <w:rFonts w:hint="eastAsia"/>
              </w:rPr>
              <w:t>系统名称</w:t>
            </w:r>
          </w:p>
        </w:tc>
        <w:tc>
          <w:tcPr>
            <w:tcW w:w="993" w:type="dxa"/>
            <w:tcBorders>
              <w:top w:val="single" w:color="auto" w:sz="4" w:space="0"/>
              <w:left w:val="nil"/>
              <w:bottom w:val="single" w:color="auto" w:sz="4" w:space="0"/>
              <w:right w:val="single" w:color="auto" w:sz="4" w:space="0"/>
            </w:tcBorders>
            <w:vAlign w:val="center"/>
          </w:tcPr>
          <w:p>
            <w:pPr>
              <w:spacing w:line="400" w:lineRule="exact"/>
              <w:ind w:firstLine="0" w:firstLineChars="0"/>
              <w:jc w:val="center"/>
              <w:rPr>
                <w:rFonts w:hint="eastAsia"/>
              </w:rPr>
            </w:pPr>
            <w:r>
              <w:rPr>
                <w:rFonts w:hint="eastAsia"/>
              </w:rPr>
              <w:t>数量</w:t>
            </w:r>
          </w:p>
        </w:tc>
        <w:tc>
          <w:tcPr>
            <w:tcW w:w="1983" w:type="dxa"/>
            <w:tcBorders>
              <w:top w:val="single" w:color="auto" w:sz="4" w:space="0"/>
              <w:left w:val="nil"/>
              <w:bottom w:val="single" w:color="auto" w:sz="4" w:space="0"/>
              <w:right w:val="single" w:color="auto" w:sz="4" w:space="0"/>
            </w:tcBorders>
            <w:vAlign w:val="center"/>
          </w:tcPr>
          <w:p>
            <w:pPr>
              <w:spacing w:line="400" w:lineRule="exact"/>
              <w:ind w:firstLine="0" w:firstLineChars="0"/>
              <w:jc w:val="center"/>
              <w:rPr>
                <w:rFonts w:hint="eastAsia"/>
              </w:rPr>
            </w:pPr>
            <w:r>
              <w:rPr>
                <w:rFonts w:hint="eastAsia"/>
              </w:rPr>
              <w:t>备注</w:t>
            </w:r>
          </w:p>
        </w:tc>
      </w:tr>
      <w:tr>
        <w:tblPrEx>
          <w:tblLayout w:type="fixed"/>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vAlign w:val="center"/>
          </w:tcPr>
          <w:p>
            <w:pPr>
              <w:spacing w:line="400" w:lineRule="exact"/>
              <w:ind w:firstLine="0" w:firstLineChars="0"/>
              <w:jc w:val="center"/>
              <w:rPr>
                <w:rFonts w:hint="eastAsia"/>
              </w:rPr>
            </w:pPr>
            <w:r>
              <w:rPr>
                <w:rFonts w:hint="eastAsia"/>
              </w:rPr>
              <w:t>1</w:t>
            </w:r>
          </w:p>
        </w:tc>
        <w:tc>
          <w:tcPr>
            <w:tcW w:w="4111" w:type="dxa"/>
            <w:tcBorders>
              <w:top w:val="nil"/>
              <w:left w:val="nil"/>
              <w:bottom w:val="single" w:color="auto" w:sz="4" w:space="0"/>
              <w:right w:val="single" w:color="auto" w:sz="4" w:space="0"/>
            </w:tcBorders>
            <w:vAlign w:val="center"/>
          </w:tcPr>
          <w:p>
            <w:pPr>
              <w:spacing w:line="400" w:lineRule="exact"/>
              <w:ind w:firstLine="0" w:firstLineChars="0"/>
              <w:jc w:val="left"/>
              <w:rPr>
                <w:rFonts w:hint="eastAsia"/>
              </w:rPr>
            </w:pPr>
            <w:r>
              <w:rPr>
                <w:rFonts w:hint="eastAsia"/>
              </w:rPr>
              <w:t>病案内涵智能分析与质控系统</w:t>
            </w:r>
          </w:p>
        </w:tc>
        <w:tc>
          <w:tcPr>
            <w:tcW w:w="993" w:type="dxa"/>
            <w:tcBorders>
              <w:top w:val="nil"/>
              <w:left w:val="nil"/>
              <w:bottom w:val="single" w:color="auto" w:sz="4" w:space="0"/>
              <w:right w:val="single" w:color="auto" w:sz="4" w:space="0"/>
            </w:tcBorders>
            <w:vAlign w:val="center"/>
          </w:tcPr>
          <w:p>
            <w:pPr>
              <w:spacing w:line="400" w:lineRule="exact"/>
              <w:ind w:firstLine="0" w:firstLineChars="0"/>
              <w:jc w:val="center"/>
              <w:rPr>
                <w:rFonts w:hint="eastAsia"/>
              </w:rPr>
            </w:pPr>
            <w:bookmarkStart w:id="4" w:name="OLE_LINK14"/>
            <w:r>
              <w:rPr>
                <w:rFonts w:hint="eastAsia"/>
              </w:rPr>
              <w:t>1套</w:t>
            </w:r>
            <w:bookmarkEnd w:id="4"/>
          </w:p>
        </w:tc>
        <w:tc>
          <w:tcPr>
            <w:tcW w:w="1983" w:type="dxa"/>
            <w:vMerge w:val="restart"/>
            <w:tcBorders>
              <w:top w:val="nil"/>
              <w:left w:val="nil"/>
              <w:right w:val="single" w:color="auto" w:sz="4" w:space="0"/>
            </w:tcBorders>
            <w:vAlign w:val="center"/>
          </w:tcPr>
          <w:p>
            <w:pPr>
              <w:spacing w:line="400" w:lineRule="exact"/>
              <w:ind w:firstLine="0" w:firstLineChars="0"/>
              <w:jc w:val="left"/>
              <w:rPr>
                <w:rFonts w:hint="eastAsia"/>
              </w:rPr>
            </w:pPr>
            <w:r>
              <w:rPr>
                <w:rFonts w:hint="eastAsia"/>
              </w:rPr>
              <w:t>部署地点：大足区人民医院</w:t>
            </w:r>
          </w:p>
        </w:tc>
      </w:tr>
      <w:tr>
        <w:tblPrEx>
          <w:tblLayout w:type="fixed"/>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vAlign w:val="center"/>
          </w:tcPr>
          <w:p>
            <w:pPr>
              <w:spacing w:line="400" w:lineRule="exact"/>
              <w:ind w:firstLine="0" w:firstLineChars="0"/>
              <w:jc w:val="center"/>
              <w:rPr>
                <w:rFonts w:hint="eastAsia"/>
              </w:rPr>
            </w:pPr>
            <w:r>
              <w:rPr>
                <w:rFonts w:hint="eastAsia"/>
              </w:rPr>
              <w:t>2</w:t>
            </w:r>
          </w:p>
        </w:tc>
        <w:tc>
          <w:tcPr>
            <w:tcW w:w="4111" w:type="dxa"/>
            <w:tcBorders>
              <w:top w:val="nil"/>
              <w:left w:val="nil"/>
              <w:bottom w:val="single" w:color="auto" w:sz="4" w:space="0"/>
              <w:right w:val="single" w:color="auto" w:sz="4" w:space="0"/>
            </w:tcBorders>
            <w:vAlign w:val="center"/>
          </w:tcPr>
          <w:p>
            <w:pPr>
              <w:spacing w:line="400" w:lineRule="exact"/>
              <w:ind w:firstLine="0" w:firstLineChars="0"/>
              <w:jc w:val="left"/>
              <w:rPr>
                <w:rFonts w:hint="eastAsia"/>
              </w:rPr>
            </w:pPr>
            <w:bookmarkStart w:id="5" w:name="OLE_LINK18"/>
            <w:r>
              <w:rPr>
                <w:rFonts w:hint="eastAsia"/>
              </w:rPr>
              <w:t>AI大模型智能语音分析基座</w:t>
            </w:r>
            <w:bookmarkEnd w:id="5"/>
          </w:p>
        </w:tc>
        <w:tc>
          <w:tcPr>
            <w:tcW w:w="993" w:type="dxa"/>
            <w:tcBorders>
              <w:top w:val="nil"/>
              <w:left w:val="nil"/>
              <w:bottom w:val="single" w:color="auto" w:sz="4" w:space="0"/>
              <w:right w:val="single" w:color="auto" w:sz="4" w:space="0"/>
            </w:tcBorders>
            <w:vAlign w:val="center"/>
          </w:tcPr>
          <w:p>
            <w:pPr>
              <w:spacing w:line="400" w:lineRule="exact"/>
              <w:ind w:firstLine="0" w:firstLineChars="0"/>
              <w:jc w:val="center"/>
              <w:rPr>
                <w:rFonts w:hint="eastAsia"/>
              </w:rPr>
            </w:pPr>
            <w:r>
              <w:rPr>
                <w:rFonts w:hint="eastAsia"/>
              </w:rPr>
              <w:t>1套</w:t>
            </w:r>
          </w:p>
        </w:tc>
        <w:tc>
          <w:tcPr>
            <w:tcW w:w="1983" w:type="dxa"/>
            <w:vMerge w:val="continue"/>
            <w:tcBorders>
              <w:left w:val="nil"/>
              <w:right w:val="single" w:color="auto" w:sz="4" w:space="0"/>
            </w:tcBorders>
            <w:vAlign w:val="center"/>
          </w:tcPr>
          <w:p>
            <w:pPr>
              <w:spacing w:line="400" w:lineRule="exact"/>
              <w:ind w:firstLine="0" w:firstLineChars="0"/>
              <w:jc w:val="left"/>
              <w:rPr>
                <w:rFonts w:hint="eastAsia"/>
              </w:rPr>
            </w:pPr>
          </w:p>
        </w:tc>
      </w:tr>
      <w:tr>
        <w:tblPrEx>
          <w:tblLayout w:type="fixed"/>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vAlign w:val="center"/>
          </w:tcPr>
          <w:p>
            <w:pPr>
              <w:spacing w:line="400" w:lineRule="exact"/>
              <w:ind w:firstLine="0" w:firstLineChars="0"/>
              <w:jc w:val="center"/>
              <w:rPr>
                <w:rFonts w:hint="eastAsia"/>
              </w:rPr>
            </w:pPr>
            <w:r>
              <w:rPr>
                <w:rFonts w:hint="eastAsia"/>
              </w:rPr>
              <w:t>3</w:t>
            </w:r>
          </w:p>
        </w:tc>
        <w:tc>
          <w:tcPr>
            <w:tcW w:w="4111" w:type="dxa"/>
            <w:tcBorders>
              <w:top w:val="nil"/>
              <w:left w:val="nil"/>
              <w:bottom w:val="single" w:color="auto" w:sz="4" w:space="0"/>
              <w:right w:val="single" w:color="auto" w:sz="4" w:space="0"/>
            </w:tcBorders>
            <w:vAlign w:val="center"/>
          </w:tcPr>
          <w:p>
            <w:pPr>
              <w:spacing w:line="400" w:lineRule="exact"/>
              <w:ind w:firstLine="0" w:firstLineChars="0"/>
              <w:jc w:val="left"/>
              <w:rPr>
                <w:rFonts w:hint="eastAsia"/>
              </w:rPr>
            </w:pPr>
            <w:bookmarkStart w:id="6" w:name="OLE_LINK2"/>
            <w:r>
              <w:rPr>
                <w:rFonts w:hint="eastAsia"/>
              </w:rPr>
              <w:t>病历智能书写系统</w:t>
            </w:r>
            <w:bookmarkEnd w:id="6"/>
          </w:p>
        </w:tc>
        <w:tc>
          <w:tcPr>
            <w:tcW w:w="993" w:type="dxa"/>
            <w:tcBorders>
              <w:top w:val="nil"/>
              <w:left w:val="nil"/>
              <w:bottom w:val="single" w:color="auto" w:sz="4" w:space="0"/>
              <w:right w:val="single" w:color="auto" w:sz="4" w:space="0"/>
            </w:tcBorders>
            <w:vAlign w:val="center"/>
          </w:tcPr>
          <w:p>
            <w:pPr>
              <w:spacing w:line="400" w:lineRule="exact"/>
              <w:ind w:firstLine="0" w:firstLineChars="0"/>
              <w:jc w:val="center"/>
              <w:rPr>
                <w:rFonts w:hint="eastAsia"/>
              </w:rPr>
            </w:pPr>
            <w:r>
              <w:rPr>
                <w:rFonts w:hint="eastAsia"/>
              </w:rPr>
              <w:t>1套</w:t>
            </w:r>
          </w:p>
        </w:tc>
        <w:tc>
          <w:tcPr>
            <w:tcW w:w="1983" w:type="dxa"/>
            <w:vMerge w:val="continue"/>
            <w:tcBorders>
              <w:left w:val="nil"/>
              <w:right w:val="single" w:color="auto" w:sz="4" w:space="0"/>
            </w:tcBorders>
            <w:vAlign w:val="center"/>
          </w:tcPr>
          <w:p>
            <w:pPr>
              <w:spacing w:line="400" w:lineRule="exact"/>
              <w:ind w:firstLine="0" w:firstLineChars="0"/>
              <w:jc w:val="left"/>
              <w:rPr>
                <w:rFonts w:hint="eastAsia"/>
              </w:rPr>
            </w:pPr>
          </w:p>
        </w:tc>
      </w:tr>
      <w:tr>
        <w:tblPrEx>
          <w:tblLayout w:type="fixed"/>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hint="eastAsia"/>
              </w:rPr>
            </w:pPr>
            <w:r>
              <w:rPr>
                <w:rFonts w:hint="eastAsia"/>
              </w:rPr>
              <w:t>4</w:t>
            </w:r>
          </w:p>
        </w:tc>
        <w:tc>
          <w:tcPr>
            <w:tcW w:w="4111" w:type="dxa"/>
            <w:tcBorders>
              <w:top w:val="single" w:color="auto" w:sz="4" w:space="0"/>
              <w:left w:val="nil"/>
              <w:bottom w:val="single" w:color="auto" w:sz="4" w:space="0"/>
              <w:right w:val="single" w:color="auto" w:sz="4" w:space="0"/>
            </w:tcBorders>
            <w:vAlign w:val="center"/>
          </w:tcPr>
          <w:p>
            <w:pPr>
              <w:spacing w:line="400" w:lineRule="exact"/>
              <w:ind w:firstLine="0" w:firstLineChars="0"/>
              <w:jc w:val="left"/>
              <w:rPr>
                <w:rFonts w:hint="eastAsia"/>
              </w:rPr>
            </w:pPr>
            <w:r>
              <w:rPr>
                <w:rFonts w:hint="eastAsia"/>
              </w:rPr>
              <w:t>语音采集设备</w:t>
            </w:r>
          </w:p>
        </w:tc>
        <w:tc>
          <w:tcPr>
            <w:tcW w:w="993" w:type="dxa"/>
            <w:tcBorders>
              <w:top w:val="single" w:color="auto" w:sz="4" w:space="0"/>
              <w:left w:val="nil"/>
              <w:bottom w:val="single" w:color="auto" w:sz="4" w:space="0"/>
              <w:right w:val="single" w:color="auto" w:sz="4" w:space="0"/>
            </w:tcBorders>
            <w:vAlign w:val="center"/>
          </w:tcPr>
          <w:p>
            <w:pPr>
              <w:spacing w:line="400" w:lineRule="exact"/>
              <w:ind w:firstLine="0" w:firstLineChars="0"/>
              <w:jc w:val="center"/>
              <w:rPr>
                <w:rFonts w:hint="eastAsia"/>
              </w:rPr>
            </w:pPr>
            <w:r>
              <w:rPr>
                <w:rFonts w:hint="eastAsia"/>
              </w:rPr>
              <w:t>100套</w:t>
            </w:r>
          </w:p>
        </w:tc>
        <w:tc>
          <w:tcPr>
            <w:tcW w:w="1983" w:type="dxa"/>
            <w:vMerge w:val="continue"/>
            <w:tcBorders>
              <w:left w:val="nil"/>
              <w:right w:val="single" w:color="auto" w:sz="4" w:space="0"/>
            </w:tcBorders>
            <w:vAlign w:val="center"/>
          </w:tcPr>
          <w:p>
            <w:pPr>
              <w:spacing w:line="400" w:lineRule="exact"/>
              <w:ind w:firstLine="0" w:firstLineChars="0"/>
              <w:jc w:val="left"/>
              <w:rPr>
                <w:rFonts w:hint="eastAsia"/>
              </w:rPr>
            </w:pPr>
          </w:p>
        </w:tc>
      </w:tr>
      <w:tr>
        <w:tblPrEx>
          <w:tblLayout w:type="fixed"/>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rPr>
                <w:rFonts w:hint="eastAsia"/>
              </w:rPr>
            </w:pPr>
            <w:r>
              <w:rPr>
                <w:rFonts w:hint="eastAsia"/>
              </w:rPr>
              <w:t>5</w:t>
            </w:r>
          </w:p>
        </w:tc>
        <w:tc>
          <w:tcPr>
            <w:tcW w:w="4111" w:type="dxa"/>
            <w:tcBorders>
              <w:top w:val="single" w:color="auto" w:sz="4" w:space="0"/>
              <w:left w:val="nil"/>
              <w:bottom w:val="single" w:color="auto" w:sz="4" w:space="0"/>
              <w:right w:val="single" w:color="auto" w:sz="4" w:space="0"/>
            </w:tcBorders>
            <w:vAlign w:val="center"/>
          </w:tcPr>
          <w:p>
            <w:pPr>
              <w:spacing w:line="400" w:lineRule="exact"/>
              <w:ind w:firstLine="0" w:firstLineChars="0"/>
              <w:jc w:val="left"/>
              <w:rPr>
                <w:rFonts w:hint="eastAsia"/>
              </w:rPr>
            </w:pPr>
            <w:r>
              <w:rPr>
                <w:rFonts w:hint="eastAsia"/>
              </w:rPr>
              <w:t>算力服务器</w:t>
            </w:r>
          </w:p>
        </w:tc>
        <w:tc>
          <w:tcPr>
            <w:tcW w:w="993" w:type="dxa"/>
            <w:tcBorders>
              <w:top w:val="single" w:color="auto" w:sz="4" w:space="0"/>
              <w:left w:val="nil"/>
              <w:bottom w:val="single" w:color="auto" w:sz="4" w:space="0"/>
              <w:right w:val="single" w:color="auto" w:sz="4" w:space="0"/>
            </w:tcBorders>
            <w:vAlign w:val="center"/>
          </w:tcPr>
          <w:p>
            <w:pPr>
              <w:spacing w:line="400" w:lineRule="exact"/>
              <w:ind w:firstLine="0" w:firstLineChars="0"/>
              <w:jc w:val="center"/>
              <w:rPr>
                <w:rFonts w:hint="eastAsia"/>
              </w:rPr>
            </w:pPr>
            <w:r>
              <w:rPr>
                <w:rFonts w:hint="eastAsia"/>
              </w:rPr>
              <w:t>1台</w:t>
            </w:r>
          </w:p>
        </w:tc>
        <w:tc>
          <w:tcPr>
            <w:tcW w:w="1983" w:type="dxa"/>
            <w:vMerge w:val="continue"/>
            <w:tcBorders>
              <w:left w:val="nil"/>
              <w:bottom w:val="single" w:color="auto" w:sz="4" w:space="0"/>
              <w:right w:val="single" w:color="auto" w:sz="4" w:space="0"/>
            </w:tcBorders>
            <w:vAlign w:val="center"/>
          </w:tcPr>
          <w:p>
            <w:pPr>
              <w:spacing w:line="400" w:lineRule="exact"/>
              <w:ind w:firstLine="0" w:firstLineChars="0"/>
              <w:jc w:val="left"/>
              <w:rPr>
                <w:rFonts w:hint="eastAsia"/>
              </w:rPr>
            </w:pPr>
          </w:p>
        </w:tc>
      </w:tr>
    </w:tbl>
    <w:p>
      <w:pPr>
        <w:ind w:firstLine="0" w:firstLineChars="0"/>
        <w:rPr>
          <w:rFonts w:hint="eastAsia"/>
        </w:rPr>
      </w:pPr>
    </w:p>
    <w:p>
      <w:pPr>
        <w:pStyle w:val="6"/>
        <w:rPr>
          <w:rFonts w:hint="eastAsia"/>
        </w:rPr>
      </w:pPr>
      <w:r>
        <w:rPr>
          <w:rFonts w:hint="eastAsia"/>
        </w:rPr>
        <w:t>详细功能</w:t>
      </w:r>
    </w:p>
    <w:p>
      <w:pPr>
        <w:pStyle w:val="7"/>
        <w:rPr>
          <w:rFonts w:hint="eastAsia"/>
        </w:rPr>
      </w:pPr>
      <w:r>
        <w:rPr>
          <w:rFonts w:hint="eastAsia"/>
        </w:rPr>
        <w:t>病案内涵智能分析与质控系统</w:t>
      </w:r>
    </w:p>
    <w:p>
      <w:pPr>
        <w:rPr>
          <w:rFonts w:hint="eastAsia"/>
          <w:color w:val="EE0000"/>
        </w:rPr>
      </w:pPr>
      <w:r>
        <w:rPr>
          <w:rFonts w:hint="eastAsia"/>
          <w:color w:val="EE0000"/>
        </w:rPr>
        <w:t>本系统本期部署于大足区人民医院院内，面向大足区人民医院质控要求提供独立应用能力，系统采用院内独立部署模式运行。</w:t>
      </w:r>
    </w:p>
    <w:p>
      <w:pPr>
        <w:rPr>
          <w:rFonts w:hint="eastAsia"/>
          <w:color w:val="EE0000"/>
        </w:rPr>
      </w:pPr>
      <w:r>
        <w:rPr>
          <w:rFonts w:hint="eastAsia"/>
          <w:color w:val="EE0000"/>
        </w:rPr>
        <w:t>在满足本期大足区人民医院单院使用的基础上，系统可为后续医共体建设预留扩展能力。后续如开展医共体统一应用建设，可支持将本期在大足区人民医院院内部署过程中形成的系统服务、数据配置，迁移至医共体私有云环境，并支持医共体成员医疗机构通过标准接口接入，复用统一的病案质控要求。</w:t>
      </w:r>
    </w:p>
    <w:p>
      <w:pPr>
        <w:rPr>
          <w:rFonts w:hint="eastAsia" w:cs="宋体"/>
          <w:color w:val="EE0000"/>
        </w:rPr>
      </w:pPr>
      <w:r>
        <w:rPr>
          <w:rFonts w:hint="eastAsia" w:cs="宋体"/>
          <w:color w:val="EE0000"/>
        </w:rPr>
        <w:t>注：区域医共体成员医疗机构系统接入、私有云迁移、接口适配、数据对接及配套改造产生的相关费用不包含在本项目建设范围内，费用另行核算。</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115"/>
        <w:gridCol w:w="5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Align w:val="center"/>
          </w:tcPr>
          <w:p>
            <w:pPr>
              <w:spacing w:line="400" w:lineRule="exact"/>
              <w:ind w:firstLine="0" w:firstLineChars="0"/>
              <w:rPr>
                <w:rFonts w:hint="eastAsia" w:cs="宋体"/>
                <w:b/>
                <w:bCs/>
                <w:kern w:val="0"/>
              </w:rPr>
            </w:pPr>
            <w:r>
              <w:rPr>
                <w:rFonts w:hint="eastAsia" w:cs="宋体"/>
                <w:b/>
                <w:bCs/>
                <w:kern w:val="0"/>
              </w:rPr>
              <w:t>分系统名称</w:t>
            </w:r>
          </w:p>
        </w:tc>
        <w:tc>
          <w:tcPr>
            <w:tcW w:w="1115" w:type="dxa"/>
            <w:vAlign w:val="center"/>
          </w:tcPr>
          <w:p>
            <w:pPr>
              <w:spacing w:line="400" w:lineRule="exact"/>
              <w:ind w:firstLine="0" w:firstLineChars="0"/>
              <w:jc w:val="center"/>
              <w:rPr>
                <w:rFonts w:hint="eastAsia" w:cs="宋体"/>
                <w:b/>
                <w:bCs/>
                <w:kern w:val="0"/>
              </w:rPr>
            </w:pPr>
            <w:r>
              <w:rPr>
                <w:rFonts w:hint="eastAsia" w:cs="宋体"/>
                <w:b/>
                <w:bCs/>
                <w:kern w:val="0"/>
              </w:rPr>
              <w:t>系统功能</w:t>
            </w:r>
          </w:p>
        </w:tc>
        <w:tc>
          <w:tcPr>
            <w:tcW w:w="5855" w:type="dxa"/>
            <w:vAlign w:val="center"/>
          </w:tcPr>
          <w:p>
            <w:pPr>
              <w:spacing w:line="400" w:lineRule="exact"/>
              <w:ind w:firstLine="482"/>
              <w:jc w:val="center"/>
              <w:rPr>
                <w:rFonts w:hint="eastAsia" w:cs="宋体"/>
                <w:b/>
                <w:bCs/>
                <w:kern w:val="0"/>
              </w:rPr>
            </w:pPr>
            <w:r>
              <w:rPr>
                <w:rFonts w:hint="eastAsia" w:cs="宋体"/>
                <w:b/>
                <w:bCs/>
                <w:kern w:val="0"/>
              </w:rPr>
              <w:t>功能描述及要求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0" w:hRule="atLeast"/>
        </w:trPr>
        <w:tc>
          <w:tcPr>
            <w:tcW w:w="1326" w:type="dxa"/>
            <w:vAlign w:val="center"/>
          </w:tcPr>
          <w:p>
            <w:pPr>
              <w:spacing w:line="400" w:lineRule="exact"/>
              <w:ind w:firstLine="0" w:firstLineChars="0"/>
              <w:jc w:val="center"/>
              <w:rPr>
                <w:rFonts w:hint="eastAsia" w:cs="宋体"/>
                <w:color w:val="000000"/>
                <w:kern w:val="0"/>
              </w:rPr>
            </w:pPr>
            <w:r>
              <w:rPr>
                <w:rFonts w:hint="eastAsia" w:cs="宋体"/>
                <w:color w:val="000000"/>
                <w:kern w:val="0"/>
              </w:rPr>
              <w:t>事前提醒</w:t>
            </w: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编码员实时质控</w:t>
            </w:r>
          </w:p>
        </w:tc>
        <w:tc>
          <w:tcPr>
            <w:tcW w:w="5855" w:type="dxa"/>
            <w:vAlign w:val="center"/>
          </w:tcPr>
          <w:p>
            <w:pPr>
              <w:spacing w:line="400" w:lineRule="exact"/>
              <w:ind w:firstLine="0" w:firstLineChars="0"/>
              <w:jc w:val="left"/>
              <w:rPr>
                <w:rFonts w:hint="eastAsia" w:cs="宋体"/>
                <w:color w:val="000000"/>
                <w:kern w:val="0"/>
              </w:rPr>
            </w:pPr>
            <w:r>
              <w:rPr>
                <w:rFonts w:hint="eastAsia" w:cs="宋体"/>
                <w:color w:val="000000"/>
                <w:kern w:val="0"/>
              </w:rPr>
              <w:t>1、支持病案室端在编码过程中实时质控，并智能提示，编码员可根据系统提示内容和建议修改病案首页。</w:t>
            </w:r>
          </w:p>
          <w:p>
            <w:pPr>
              <w:spacing w:line="400" w:lineRule="exact"/>
              <w:ind w:firstLine="0" w:firstLineChars="0"/>
              <w:jc w:val="left"/>
              <w:rPr>
                <w:rFonts w:hint="eastAsia"/>
              </w:rPr>
            </w:pPr>
            <w:r>
              <w:rPr>
                <w:rFonts w:hint="eastAsia" w:cs="宋体"/>
                <w:color w:val="000000"/>
                <w:kern w:val="0"/>
              </w:rPr>
              <w:t>2、支持临床医生端在编码过程中实时质控，并智能提示，编码员可根据系统提示内容和建议修改病案首页。</w:t>
            </w:r>
          </w:p>
          <w:p>
            <w:pPr>
              <w:spacing w:line="400" w:lineRule="exact"/>
              <w:ind w:firstLine="0" w:firstLineChars="0"/>
              <w:jc w:val="left"/>
              <w:rPr>
                <w:rFonts w:hint="eastAsia" w:cs="宋体"/>
                <w:color w:val="000000"/>
                <w:kern w:val="0"/>
              </w:rPr>
            </w:pPr>
            <w:r>
              <w:rPr>
                <w:rFonts w:hint="eastAsia" w:cs="宋体"/>
                <w:color w:val="000000"/>
                <w:kern w:val="0"/>
              </w:rPr>
              <w:t>3、支持以首页缺陷问题进行提醒，展示质控点名称、备注、机器/人工。</w:t>
            </w:r>
          </w:p>
          <w:p>
            <w:pPr>
              <w:spacing w:line="400" w:lineRule="exact"/>
              <w:ind w:firstLine="0" w:firstLineChars="0"/>
              <w:jc w:val="left"/>
              <w:rPr>
                <w:rFonts w:hint="eastAsia" w:cs="宋体"/>
                <w:color w:val="000000"/>
                <w:kern w:val="0"/>
              </w:rPr>
            </w:pPr>
            <w:r>
              <w:rPr>
                <w:rFonts w:hint="eastAsia" w:cs="宋体"/>
                <w:color w:val="000000"/>
                <w:kern w:val="0"/>
              </w:rPr>
              <w:t>4、支持查看人工质控结果，对人工质控的问题进行实时反馈。</w:t>
            </w:r>
          </w:p>
          <w:p>
            <w:pPr>
              <w:spacing w:line="400" w:lineRule="exact"/>
              <w:ind w:firstLine="0" w:firstLineChars="0"/>
              <w:jc w:val="left"/>
              <w:rPr>
                <w:rFonts w:hint="eastAsia"/>
              </w:rPr>
            </w:pPr>
            <w:r>
              <w:rPr>
                <w:rFonts w:hint="eastAsia" w:cs="宋体"/>
                <w:color w:val="000000"/>
                <w:kern w:val="0"/>
              </w:rPr>
              <w:t>5、支持查看所属数据权限下的待反馈病案数量及待反馈问题数量，并查看问题。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restart"/>
            <w:vAlign w:val="center"/>
          </w:tcPr>
          <w:p>
            <w:pPr>
              <w:spacing w:line="400" w:lineRule="exact"/>
              <w:ind w:firstLine="0" w:firstLineChars="0"/>
              <w:jc w:val="center"/>
              <w:rPr>
                <w:rFonts w:hint="eastAsia" w:cs="宋体"/>
                <w:color w:val="000000"/>
                <w:kern w:val="0"/>
              </w:rPr>
            </w:pPr>
            <w:r>
              <w:rPr>
                <w:rFonts w:hint="eastAsia" w:cs="宋体"/>
                <w:color w:val="000000"/>
                <w:kern w:val="0"/>
              </w:rPr>
              <w:t>病案质控管理端</w:t>
            </w: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首页</w:t>
            </w:r>
          </w:p>
        </w:tc>
        <w:tc>
          <w:tcPr>
            <w:tcW w:w="5855" w:type="dxa"/>
            <w:vAlign w:val="center"/>
          </w:tcPr>
          <w:p>
            <w:pPr>
              <w:spacing w:line="400" w:lineRule="exact"/>
              <w:ind w:firstLine="0" w:firstLineChars="0"/>
              <w:jc w:val="left"/>
              <w:rPr>
                <w:rFonts w:hint="eastAsia" w:cs="宋体"/>
                <w:color w:val="000000"/>
                <w:kern w:val="0"/>
              </w:rPr>
            </w:pPr>
            <w:r>
              <w:rPr>
                <w:rFonts w:hint="eastAsia" w:cs="宋体"/>
                <w:color w:val="000000"/>
                <w:kern w:val="0"/>
              </w:rPr>
              <w:t>1、统计当前出院月份下临床医生端首页质量和编码质量的问题，包括饼状图、柱状图、列表等，可查看数据的趋势走向。</w:t>
            </w:r>
          </w:p>
          <w:p>
            <w:pPr>
              <w:spacing w:line="400" w:lineRule="exact"/>
              <w:ind w:firstLine="0" w:firstLineChars="0"/>
              <w:jc w:val="left"/>
              <w:rPr>
                <w:rFonts w:hint="eastAsia" w:cs="宋体"/>
                <w:color w:val="000000"/>
                <w:kern w:val="0"/>
              </w:rPr>
            </w:pPr>
            <w:r>
              <w:rPr>
                <w:rFonts w:hint="eastAsia" w:cs="宋体"/>
                <w:color w:val="000000"/>
                <w:kern w:val="0"/>
              </w:rPr>
              <w:t>2、统计当前出院月份下病案室端首页质量和编码质量的问题，包括饼状图、柱状图、列表等，可查看数据的趋势走向。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0" w:hRule="atLeast"/>
        </w:trPr>
        <w:tc>
          <w:tcPr>
            <w:tcW w:w="1326" w:type="dxa"/>
            <w:vMerge w:val="continue"/>
            <w:vAlign w:val="center"/>
          </w:tcPr>
          <w:p>
            <w:pPr>
              <w:spacing w:line="400" w:lineRule="exact"/>
              <w:ind w:firstLine="0" w:firstLineChars="0"/>
              <w:jc w:val="center"/>
              <w:rPr>
                <w:rFonts w:hint="eastAsia" w:cs="宋体"/>
                <w:color w:val="000000"/>
                <w:kern w:val="0"/>
              </w:rPr>
            </w:pPr>
          </w:p>
        </w:tc>
        <w:tc>
          <w:tcPr>
            <w:tcW w:w="1115" w:type="dxa"/>
            <w:vMerge w:val="restart"/>
            <w:vAlign w:val="center"/>
          </w:tcPr>
          <w:p>
            <w:pPr>
              <w:spacing w:line="400" w:lineRule="exact"/>
              <w:ind w:firstLine="0" w:firstLineChars="0"/>
              <w:jc w:val="center"/>
              <w:rPr>
                <w:rFonts w:hint="eastAsia" w:cs="宋体"/>
                <w:color w:val="000000"/>
                <w:kern w:val="0"/>
              </w:rPr>
            </w:pPr>
            <w:r>
              <w:rPr>
                <w:rFonts w:hint="eastAsia" w:cs="宋体"/>
                <w:color w:val="000000"/>
                <w:kern w:val="0"/>
              </w:rPr>
              <w:t>病案查询</w:t>
            </w:r>
          </w:p>
        </w:tc>
        <w:tc>
          <w:tcPr>
            <w:tcW w:w="5855" w:type="dxa"/>
            <w:vAlign w:val="center"/>
          </w:tcPr>
          <w:p>
            <w:pPr>
              <w:spacing w:line="400" w:lineRule="exact"/>
              <w:jc w:val="left"/>
              <w:rPr>
                <w:rFonts w:hint="eastAsia" w:cs="宋体"/>
                <w:color w:val="000000"/>
                <w:kern w:val="0"/>
              </w:rPr>
            </w:pPr>
            <w:r>
              <w:rPr>
                <w:rFonts w:hint="eastAsia" w:cs="宋体"/>
                <w:color w:val="000000"/>
                <w:kern w:val="0"/>
              </w:rPr>
              <w:t>支持多个病案查询页面展示，分别为质控查询、精确查询。并支持按患者、按问题多维度查询病案列表。</w:t>
            </w:r>
          </w:p>
          <w:p>
            <w:pPr>
              <w:spacing w:line="400" w:lineRule="exact"/>
              <w:ind w:firstLine="0" w:firstLineChars="0"/>
              <w:jc w:val="left"/>
              <w:rPr>
                <w:rFonts w:hint="eastAsia" w:cs="宋体"/>
                <w:color w:val="000000"/>
                <w:kern w:val="0"/>
              </w:rPr>
            </w:pPr>
            <w:r>
              <w:rPr>
                <w:rFonts w:hint="eastAsia" w:cs="宋体"/>
                <w:color w:val="000000"/>
                <w:kern w:val="0"/>
              </w:rPr>
              <w:t>（1）质控查询：支持病案首页按出院科室、质控点类型、出院日期、编码员、回复状态、质控医生、首页等级、诊断、诊断类型、手术、首页得分、病案归档状态、病案编码状态、病理特征、标签等条件进行快速查询，可根据数据权限按科室、按病区控制数据查询范围。</w:t>
            </w:r>
          </w:p>
          <w:p>
            <w:pPr>
              <w:spacing w:line="400" w:lineRule="exact"/>
              <w:ind w:firstLine="0" w:firstLineChars="0"/>
              <w:jc w:val="left"/>
              <w:rPr>
                <w:rFonts w:hint="eastAsia" w:cs="宋体"/>
                <w:color w:val="000000"/>
                <w:kern w:val="0"/>
              </w:rPr>
            </w:pPr>
            <w:r>
              <w:rPr>
                <w:rFonts w:hint="eastAsia" w:cs="宋体"/>
                <w:color w:val="000000"/>
                <w:kern w:val="0"/>
              </w:rPr>
              <w:t>（2）精确查询：支持按病历号、病案号、患者姓名等对病案进行精准查询。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Merge w:val="continue"/>
            <w:vAlign w:val="center"/>
          </w:tcPr>
          <w:p>
            <w:pPr>
              <w:spacing w:line="400" w:lineRule="exact"/>
              <w:ind w:firstLine="0" w:firstLineChars="0"/>
              <w:jc w:val="left"/>
              <w:rPr>
                <w:rFonts w:hint="eastAsia" w:cs="宋体"/>
                <w:color w:val="000000"/>
                <w:kern w:val="0"/>
              </w:rPr>
            </w:pPr>
          </w:p>
        </w:tc>
        <w:tc>
          <w:tcPr>
            <w:tcW w:w="5855" w:type="dxa"/>
            <w:vAlign w:val="center"/>
          </w:tcPr>
          <w:p>
            <w:pPr>
              <w:spacing w:line="400" w:lineRule="exact"/>
              <w:ind w:firstLine="0" w:firstLineChars="0"/>
              <w:jc w:val="left"/>
              <w:rPr>
                <w:rFonts w:hint="eastAsia" w:cs="宋体"/>
                <w:color w:val="000000"/>
                <w:kern w:val="0"/>
              </w:rPr>
            </w:pPr>
            <w:r>
              <w:rPr>
                <w:rFonts w:hint="eastAsia" w:cs="宋体"/>
                <w:color w:val="000000"/>
                <w:kern w:val="0"/>
              </w:rPr>
              <w:t>▲支持对病案列表的字段展示列进行自定义选择配置，选择项包括不仅限于待质控员回复、待医生反馈、机器现存问题、质控医生、病案等级、病案得分、现存问题、质控状态、标签、病区、医疗组、主治医生、主任医生、住院医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Merge w:val="continue"/>
            <w:vAlign w:val="center"/>
          </w:tcPr>
          <w:p>
            <w:pPr>
              <w:spacing w:line="400" w:lineRule="exact"/>
              <w:ind w:firstLine="0" w:firstLineChars="0"/>
              <w:jc w:val="left"/>
              <w:rPr>
                <w:rFonts w:hint="eastAsia" w:cs="宋体"/>
                <w:color w:val="000000"/>
                <w:kern w:val="0"/>
              </w:rPr>
            </w:pPr>
          </w:p>
        </w:tc>
        <w:tc>
          <w:tcPr>
            <w:tcW w:w="5855" w:type="dxa"/>
            <w:vAlign w:val="center"/>
          </w:tcPr>
          <w:p>
            <w:pPr>
              <w:spacing w:line="400" w:lineRule="exact"/>
              <w:ind w:firstLine="0" w:firstLineChars="0"/>
              <w:jc w:val="left"/>
              <w:rPr>
                <w:rFonts w:hint="eastAsia" w:cs="宋体"/>
                <w:color w:val="000000"/>
                <w:kern w:val="0"/>
              </w:rPr>
            </w:pPr>
            <w:r>
              <w:rPr>
                <w:rFonts w:hint="eastAsia" w:cs="Times New Roman"/>
                <w:kern w:val="0"/>
                <w:lang w:bidi="ar"/>
              </w:rPr>
              <w:t>★</w:t>
            </w:r>
            <w:r>
              <w:rPr>
                <w:rFonts w:cs="宋体"/>
              </w:rPr>
              <w:t xml:space="preserve"> </w:t>
            </w:r>
            <w:r>
              <w:rPr>
                <w:rFonts w:hint="eastAsia" w:cs="宋体"/>
                <w:color w:val="000000"/>
                <w:kern w:val="0"/>
              </w:rPr>
              <w:t>支持对病案首页标签名称、标签描述进行自定义设置；支持为每份病案首页人工选择维护好的标签进行标注；支持通过标签快速检索病案。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Merge w:val="continue"/>
            <w:vAlign w:val="center"/>
          </w:tcPr>
          <w:p>
            <w:pPr>
              <w:spacing w:line="400" w:lineRule="exact"/>
              <w:ind w:firstLine="0" w:firstLineChars="0"/>
              <w:jc w:val="left"/>
              <w:rPr>
                <w:rFonts w:hint="eastAsia" w:cs="宋体"/>
                <w:color w:val="000000"/>
                <w:kern w:val="0"/>
              </w:rPr>
            </w:pPr>
          </w:p>
        </w:tc>
        <w:tc>
          <w:tcPr>
            <w:tcW w:w="5855" w:type="dxa"/>
            <w:vAlign w:val="center"/>
          </w:tcPr>
          <w:p>
            <w:pPr>
              <w:spacing w:line="400" w:lineRule="exact"/>
              <w:ind w:firstLine="0" w:firstLineChars="0"/>
              <w:jc w:val="left"/>
              <w:rPr>
                <w:rFonts w:hint="eastAsia" w:cs="宋体"/>
                <w:color w:val="000000"/>
                <w:kern w:val="0"/>
              </w:rPr>
            </w:pPr>
            <w:r>
              <w:rPr>
                <w:rFonts w:hint="eastAsia" w:cs="宋体"/>
                <w:color w:val="000000"/>
                <w:kern w:val="0"/>
              </w:rPr>
              <w:t>支持对检索到的病案快速生成患者列表、患者问题列表、患者评分列表，并支持列表的查看、下载。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病案查看</w:t>
            </w:r>
          </w:p>
        </w:tc>
        <w:tc>
          <w:tcPr>
            <w:tcW w:w="5855" w:type="dxa"/>
            <w:vAlign w:val="center"/>
          </w:tcPr>
          <w:p>
            <w:pPr>
              <w:spacing w:line="400" w:lineRule="exact"/>
              <w:ind w:firstLine="0" w:firstLineChars="0"/>
              <w:jc w:val="left"/>
              <w:rPr>
                <w:rFonts w:hint="eastAsia" w:cs="宋体"/>
                <w:color w:val="000000"/>
                <w:kern w:val="0"/>
              </w:rPr>
            </w:pPr>
            <w:r>
              <w:rPr>
                <w:rFonts w:hint="eastAsia" w:cs="宋体"/>
                <w:color w:val="000000"/>
                <w:kern w:val="0"/>
              </w:rPr>
              <w:t>支持点击列表中病历号或点击操作列查看按钮对病案进行下钻，可查看病案质控详情，包括文书列表、评分表等；</w:t>
            </w:r>
          </w:p>
          <w:p>
            <w:pPr>
              <w:spacing w:line="400" w:lineRule="exact"/>
              <w:ind w:firstLine="0" w:firstLineChars="0"/>
              <w:jc w:val="left"/>
              <w:rPr>
                <w:rFonts w:hint="eastAsia" w:cs="宋体"/>
                <w:color w:val="000000"/>
                <w:kern w:val="0"/>
              </w:rPr>
            </w:pPr>
            <w:r>
              <w:rPr>
                <w:rFonts w:hint="eastAsia" w:cs="宋体"/>
                <w:color w:val="000000"/>
                <w:kern w:val="0"/>
              </w:rPr>
              <w:t>1、文书列表：</w:t>
            </w:r>
          </w:p>
          <w:p>
            <w:pPr>
              <w:spacing w:line="400" w:lineRule="exact"/>
              <w:jc w:val="left"/>
              <w:rPr>
                <w:rFonts w:hint="eastAsia" w:cs="宋体"/>
                <w:color w:val="000000"/>
                <w:kern w:val="0"/>
              </w:rPr>
            </w:pPr>
            <w:r>
              <w:rPr>
                <w:rFonts w:hint="eastAsia" w:cs="宋体"/>
                <w:color w:val="000000"/>
                <w:kern w:val="0"/>
              </w:rPr>
              <w:t>支持查看患者病案缺陷问题详情，以及患者本次住院的360维度信息，应包括：患者病案首页、入院记录、出院/死亡记录、病程记录、医嘱、检验检查结果、谈话记录等相关信息。</w:t>
            </w:r>
          </w:p>
          <w:p>
            <w:pPr>
              <w:spacing w:line="400" w:lineRule="exact"/>
              <w:ind w:firstLine="0" w:firstLineChars="0"/>
              <w:jc w:val="left"/>
              <w:rPr>
                <w:rFonts w:hint="eastAsia" w:cs="宋体"/>
                <w:color w:val="000000"/>
                <w:kern w:val="0"/>
              </w:rPr>
            </w:pPr>
            <w:r>
              <w:rPr>
                <w:rFonts w:hint="eastAsia" w:cs="宋体"/>
                <w:color w:val="000000"/>
                <w:kern w:val="0"/>
              </w:rPr>
              <w:t>2、评分表：</w:t>
            </w:r>
          </w:p>
          <w:p>
            <w:pPr>
              <w:spacing w:line="400" w:lineRule="exact"/>
              <w:jc w:val="left"/>
              <w:rPr>
                <w:rFonts w:hint="eastAsia" w:cs="宋体"/>
                <w:color w:val="000000"/>
                <w:kern w:val="0"/>
              </w:rPr>
            </w:pPr>
            <w:r>
              <w:rPr>
                <w:rFonts w:hint="eastAsia" w:cs="宋体"/>
                <w:color w:val="000000"/>
                <w:kern w:val="0"/>
              </w:rPr>
              <w:t>支持根据医院配置的评分表内容，进行评分表展现。评分表包括不仅限于评分项目、评分标准、评分方法、扣分结果、扣分理由；</w:t>
            </w:r>
          </w:p>
          <w:p>
            <w:pPr>
              <w:spacing w:line="400" w:lineRule="exact"/>
              <w:jc w:val="left"/>
              <w:rPr>
                <w:rFonts w:hint="eastAsia" w:cs="宋体"/>
                <w:color w:val="000000"/>
                <w:kern w:val="0"/>
              </w:rPr>
            </w:pPr>
            <w:r>
              <w:rPr>
                <w:rFonts w:hint="eastAsia" w:cs="宋体"/>
                <w:color w:val="000000"/>
                <w:kern w:val="0"/>
              </w:rPr>
              <w:t>支持展示病案的得分情况，以及具体的评分明细，并根据评分项目导航快速定位不同评分项目；</w:t>
            </w:r>
          </w:p>
          <w:p>
            <w:pPr>
              <w:spacing w:line="400" w:lineRule="exact"/>
              <w:jc w:val="left"/>
              <w:rPr>
                <w:rFonts w:hint="eastAsia" w:cs="宋体"/>
                <w:color w:val="000000"/>
                <w:kern w:val="0"/>
              </w:rPr>
            </w:pPr>
            <w:r>
              <w:rPr>
                <w:rFonts w:hint="eastAsia" w:cs="宋体"/>
                <w:color w:val="000000"/>
                <w:kern w:val="0"/>
              </w:rPr>
              <w:t>支持对扣分项目进行标红处理，点击可查看具体扣分情况。</w:t>
            </w:r>
          </w:p>
          <w:p>
            <w:pPr>
              <w:pStyle w:val="16"/>
              <w:ind w:hanging="2"/>
              <w:rPr>
                <w:rFonts w:hint="eastAsia"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3、质控闭环：</w:t>
            </w:r>
          </w:p>
          <w:p>
            <w:pPr>
              <w:spacing w:line="400" w:lineRule="exact"/>
              <w:jc w:val="left"/>
              <w:rPr>
                <w:rFonts w:hint="eastAsia" w:cs="宋体"/>
                <w:color w:val="000000"/>
                <w:kern w:val="0"/>
              </w:rPr>
            </w:pPr>
            <w:r>
              <w:rPr>
                <w:rFonts w:cs="宋体"/>
                <w:color w:val="000000"/>
                <w:kern w:val="0"/>
              </w:rPr>
              <w:t>通过质控闭环可以清晰的看到当前病历的质控流程机器发现问题时间、医生主动修改时间、人工确认时间以及操作人员。通过闭环可以看到某一个缺陷问题整个的流转过程。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Merge w:val="restart"/>
            <w:vAlign w:val="center"/>
          </w:tcPr>
          <w:p>
            <w:pPr>
              <w:spacing w:line="400" w:lineRule="exact"/>
              <w:ind w:firstLine="0" w:firstLineChars="0"/>
              <w:jc w:val="center"/>
              <w:rPr>
                <w:rFonts w:hint="eastAsia" w:cs="宋体"/>
                <w:color w:val="000000"/>
                <w:kern w:val="0"/>
              </w:rPr>
            </w:pPr>
            <w:r>
              <w:rPr>
                <w:rFonts w:hint="eastAsia" w:cs="宋体"/>
                <w:color w:val="000000"/>
                <w:kern w:val="0"/>
              </w:rPr>
              <w:t>质控人员实时质控</w:t>
            </w:r>
          </w:p>
        </w:tc>
        <w:tc>
          <w:tcPr>
            <w:tcW w:w="5855" w:type="dxa"/>
            <w:vAlign w:val="center"/>
          </w:tcPr>
          <w:p>
            <w:pPr>
              <w:spacing w:line="400" w:lineRule="exact"/>
              <w:ind w:firstLine="0" w:firstLineChars="0"/>
              <w:jc w:val="left"/>
              <w:rPr>
                <w:rFonts w:hint="eastAsia" w:cs="宋体"/>
                <w:color w:val="000000"/>
                <w:kern w:val="0"/>
              </w:rPr>
            </w:pPr>
            <w:r>
              <w:rPr>
                <w:rFonts w:hint="eastAsia" w:cs="宋体"/>
                <w:color w:val="000000"/>
                <w:kern w:val="0"/>
              </w:rPr>
              <w:t>▲1、质控缺陷总览：</w:t>
            </w:r>
          </w:p>
          <w:p>
            <w:pPr>
              <w:spacing w:line="400" w:lineRule="exact"/>
              <w:jc w:val="left"/>
              <w:rPr>
                <w:rFonts w:hint="eastAsia" w:cs="宋体"/>
                <w:color w:val="000000"/>
                <w:kern w:val="0"/>
              </w:rPr>
            </w:pPr>
            <w:r>
              <w:rPr>
                <w:rFonts w:hint="eastAsia" w:cs="宋体"/>
                <w:color w:val="000000"/>
                <w:kern w:val="0"/>
              </w:rPr>
              <w:t>在质控员选择一份病案首页进行人工审核时，系统智能提示当前病案首页的缺陷问题数量，支持展示所有缺陷问题详情、备注问题缺陷原因、扣分、质控类型（机器/人工）等。</w:t>
            </w:r>
          </w:p>
          <w:p>
            <w:pPr>
              <w:spacing w:line="400" w:lineRule="exact"/>
              <w:jc w:val="left"/>
              <w:rPr>
                <w:rFonts w:hint="eastAsia" w:cs="宋体"/>
                <w:color w:val="000000"/>
                <w:kern w:val="0"/>
              </w:rPr>
            </w:pPr>
            <w:r>
              <w:rPr>
                <w:rFonts w:hint="eastAsia" w:cs="宋体"/>
                <w:color w:val="000000"/>
                <w:kern w:val="0"/>
              </w:rPr>
              <w:t>质控员可对质控问题进行备注和修改完成操作。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Merge w:val="continue"/>
            <w:vAlign w:val="center"/>
          </w:tcPr>
          <w:p>
            <w:pPr>
              <w:spacing w:line="400" w:lineRule="exact"/>
              <w:ind w:firstLine="0" w:firstLineChars="0"/>
              <w:jc w:val="left"/>
              <w:rPr>
                <w:rFonts w:hint="eastAsia" w:cs="宋体"/>
                <w:color w:val="000000"/>
                <w:kern w:val="0"/>
              </w:rPr>
            </w:pPr>
          </w:p>
        </w:tc>
        <w:tc>
          <w:tcPr>
            <w:tcW w:w="5855" w:type="dxa"/>
            <w:vAlign w:val="center"/>
          </w:tcPr>
          <w:p>
            <w:pPr>
              <w:spacing w:line="400" w:lineRule="exact"/>
              <w:ind w:firstLine="0" w:firstLineChars="0"/>
              <w:jc w:val="left"/>
              <w:rPr>
                <w:rFonts w:hint="eastAsia" w:cs="宋体"/>
                <w:color w:val="000000"/>
                <w:kern w:val="0"/>
              </w:rPr>
            </w:pPr>
            <w:r>
              <w:rPr>
                <w:rFonts w:hint="eastAsia" w:cs="Times New Roman"/>
                <w:kern w:val="0"/>
                <w:lang w:bidi="ar"/>
              </w:rPr>
              <w:t>★</w:t>
            </w:r>
            <w:r>
              <w:rPr>
                <w:rFonts w:hint="eastAsia" w:cs="宋体"/>
                <w:color w:val="000000"/>
                <w:kern w:val="0"/>
              </w:rPr>
              <w:t>2、人工质控与结果确认：</w:t>
            </w:r>
          </w:p>
          <w:p>
            <w:pPr>
              <w:spacing w:line="400" w:lineRule="exact"/>
              <w:jc w:val="left"/>
              <w:rPr>
                <w:rFonts w:hint="eastAsia" w:cs="宋体"/>
                <w:color w:val="000000"/>
                <w:kern w:val="0"/>
              </w:rPr>
            </w:pPr>
            <w:r>
              <w:rPr>
                <w:rFonts w:hint="eastAsia" w:cs="宋体"/>
                <w:color w:val="000000"/>
                <w:kern w:val="0"/>
              </w:rPr>
              <w:t>支持点击缺陷问题，系统自动跳转至缺陷对应的原文，且高亮并划线对应到质控点上；</w:t>
            </w:r>
          </w:p>
          <w:p>
            <w:pPr>
              <w:spacing w:line="400" w:lineRule="exact"/>
              <w:jc w:val="left"/>
              <w:rPr>
                <w:rFonts w:hint="eastAsia" w:cs="宋体"/>
                <w:color w:val="000000"/>
                <w:kern w:val="0"/>
              </w:rPr>
            </w:pPr>
            <w:r>
              <w:rPr>
                <w:rFonts w:hint="eastAsia" w:cs="宋体"/>
                <w:color w:val="000000"/>
                <w:kern w:val="0"/>
              </w:rPr>
              <w:t>支持质控人员根据系统的质控结果对病案的缺陷进行人工确认；</w:t>
            </w:r>
          </w:p>
          <w:p>
            <w:pPr>
              <w:spacing w:line="400" w:lineRule="exact"/>
              <w:jc w:val="left"/>
              <w:rPr>
                <w:rFonts w:hint="eastAsia"/>
              </w:rPr>
            </w:pPr>
            <w:r>
              <w:rPr>
                <w:rFonts w:hint="eastAsia" w:cs="宋体"/>
                <w:color w:val="000000"/>
                <w:kern w:val="0"/>
              </w:rPr>
              <w:t>对于系统未发现的问题，需支持人工添加缺陷问题，并与质控库中的质控点进行关联，可对添加问题进行备注说明。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Merge w:val="continue"/>
            <w:vAlign w:val="center"/>
          </w:tcPr>
          <w:p>
            <w:pPr>
              <w:spacing w:line="400" w:lineRule="exact"/>
              <w:ind w:firstLine="0" w:firstLineChars="0"/>
              <w:jc w:val="left"/>
              <w:rPr>
                <w:rFonts w:hint="eastAsia" w:cs="宋体"/>
                <w:color w:val="000000"/>
                <w:kern w:val="0"/>
              </w:rPr>
            </w:pPr>
          </w:p>
        </w:tc>
        <w:tc>
          <w:tcPr>
            <w:tcW w:w="5855" w:type="dxa"/>
            <w:vAlign w:val="center"/>
          </w:tcPr>
          <w:p>
            <w:pPr>
              <w:spacing w:line="400" w:lineRule="exact"/>
              <w:ind w:firstLine="0" w:firstLineChars="0"/>
              <w:jc w:val="left"/>
              <w:rPr>
                <w:rFonts w:hint="eastAsia" w:cs="宋体"/>
                <w:color w:val="000000"/>
                <w:kern w:val="0"/>
              </w:rPr>
            </w:pPr>
            <w:r>
              <w:rPr>
                <w:rFonts w:hint="eastAsia" w:cs="宋体"/>
                <w:color w:val="000000"/>
                <w:kern w:val="0"/>
              </w:rPr>
              <w:t>3、评分表：</w:t>
            </w:r>
          </w:p>
          <w:p>
            <w:pPr>
              <w:spacing w:line="400" w:lineRule="exact"/>
              <w:jc w:val="left"/>
              <w:rPr>
                <w:rFonts w:hint="eastAsia" w:cs="宋体"/>
                <w:color w:val="000000"/>
                <w:kern w:val="0"/>
              </w:rPr>
            </w:pPr>
            <w:r>
              <w:rPr>
                <w:rFonts w:hint="eastAsia" w:cs="宋体"/>
                <w:color w:val="000000"/>
                <w:kern w:val="0"/>
              </w:rPr>
              <w:t>系统根据医院评分表的配置及质控点关联，自动对病案进行评分，质控员可以进行人工评分。</w:t>
            </w:r>
          </w:p>
          <w:p>
            <w:pPr>
              <w:spacing w:line="400" w:lineRule="exact"/>
              <w:jc w:val="left"/>
              <w:rPr>
                <w:rFonts w:hint="eastAsia" w:cs="宋体"/>
                <w:color w:val="000000"/>
                <w:kern w:val="0"/>
              </w:rPr>
            </w:pPr>
            <w:r>
              <w:rPr>
                <w:rFonts w:hint="eastAsia" w:cs="宋体"/>
                <w:color w:val="000000"/>
                <w:kern w:val="0"/>
              </w:rPr>
              <w:t>支持根据评分项目导航快速定位不同评分项目，并对扣分项目进行标红处理，点击可查看具体扣分点、扣分结果、扣分理由，方便质控员对扣分情况进行确认/调整。</w:t>
            </w:r>
          </w:p>
          <w:p>
            <w:pPr>
              <w:spacing w:line="400" w:lineRule="exact"/>
              <w:jc w:val="left"/>
              <w:rPr>
                <w:rFonts w:hint="eastAsia" w:cs="宋体"/>
                <w:color w:val="000000"/>
                <w:kern w:val="0"/>
              </w:rPr>
            </w:pPr>
            <w:r>
              <w:rPr>
                <w:rFonts w:hint="eastAsia" w:cs="宋体"/>
                <w:color w:val="000000"/>
                <w:kern w:val="0"/>
              </w:rPr>
              <w:t>支持通过添加/删除缺陷问题进行人工干预评分，也支持通过人工修改该评估项目的扣分结果调整病案总体得分。</w:t>
            </w:r>
          </w:p>
          <w:p>
            <w:pPr>
              <w:pStyle w:val="16"/>
              <w:ind w:hanging="2"/>
              <w:rPr>
                <w:rFonts w:hint="eastAsia" w:ascii="宋体" w:hAnsi="宋体" w:cs="宋体"/>
                <w:color w:val="000000"/>
                <w:kern w:val="0"/>
                <w:sz w:val="24"/>
              </w:rPr>
            </w:pPr>
            <w:r>
              <w:rPr>
                <w:rFonts w:ascii="宋体" w:hAnsi="宋体" w:cs="宋体"/>
                <w:color w:val="000000"/>
                <w:kern w:val="0"/>
                <w:sz w:val="24"/>
              </w:rPr>
              <w:t>4、质控闭环：</w:t>
            </w:r>
          </w:p>
          <w:p>
            <w:pPr>
              <w:pStyle w:val="16"/>
              <w:ind w:hanging="2"/>
            </w:pPr>
            <w:r>
              <w:rPr>
                <w:rFonts w:ascii="宋体" w:hAnsi="宋体" w:cs="宋体"/>
                <w:color w:val="000000"/>
                <w:kern w:val="0"/>
                <w:sz w:val="24"/>
              </w:rPr>
              <w:t>支持查看病案缺陷详细问题，了解每个缺陷问题的状态、医生沟通情况、扣分等，</w:t>
            </w:r>
            <w:r>
              <w:rPr>
                <w:rFonts w:hint="eastAsia" w:ascii="宋体" w:hAnsi="宋体" w:cs="宋体"/>
                <w:color w:val="000000"/>
                <w:sz w:val="24"/>
                <w:lang w:bidi="ar"/>
              </w:rPr>
              <w:t>及时了解医生、质控员对现存问题的处理进度及详情。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restart"/>
            <w:vAlign w:val="center"/>
          </w:tcPr>
          <w:p>
            <w:pPr>
              <w:spacing w:line="400" w:lineRule="exact"/>
              <w:ind w:firstLine="0" w:firstLineChars="0"/>
              <w:jc w:val="center"/>
              <w:rPr>
                <w:rFonts w:hint="eastAsia" w:cs="宋体"/>
                <w:color w:val="000000"/>
                <w:kern w:val="0"/>
              </w:rPr>
            </w:pPr>
            <w:r>
              <w:rPr>
                <w:rFonts w:hint="eastAsia" w:cs="宋体"/>
                <w:color w:val="000000"/>
                <w:kern w:val="0"/>
              </w:rPr>
              <w:t>病案质量分析</w:t>
            </w: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首页质量分析</w:t>
            </w:r>
          </w:p>
        </w:tc>
        <w:tc>
          <w:tcPr>
            <w:tcW w:w="5855" w:type="dxa"/>
            <w:vAlign w:val="center"/>
          </w:tcPr>
          <w:p>
            <w:pPr>
              <w:spacing w:line="400" w:lineRule="exact"/>
              <w:rPr>
                <w:rFonts w:hint="eastAsia" w:cs="宋体"/>
                <w:color w:val="000000"/>
                <w:kern w:val="0"/>
              </w:rPr>
            </w:pPr>
            <w:r>
              <w:rPr>
                <w:rFonts w:hint="eastAsia" w:cs="宋体"/>
                <w:color w:val="000000"/>
                <w:kern w:val="0"/>
              </w:rPr>
              <w:t>支持按年度、季度、月份、自定义对全院病案（归档/未归档、编码/未编码）的质控情况进行多维度统计分析。</w:t>
            </w:r>
          </w:p>
          <w:p>
            <w:pPr>
              <w:spacing w:line="400" w:lineRule="exact"/>
              <w:rPr>
                <w:rFonts w:hint="eastAsia" w:cs="宋体"/>
                <w:color w:val="000000"/>
                <w:kern w:val="0"/>
              </w:rPr>
            </w:pPr>
            <w:r>
              <w:rPr>
                <w:rFonts w:hint="eastAsia" w:cs="宋体"/>
                <w:color w:val="000000"/>
                <w:kern w:val="0"/>
              </w:rPr>
              <w:t>系统应支持全院病案首页问题情况在一定时间段内的多维度数据展示，至少应包括：病案首页数、平均分、平均问题数，且需包括各指标的环比、同比（年）；</w:t>
            </w:r>
          </w:p>
          <w:p>
            <w:pPr>
              <w:spacing w:line="400" w:lineRule="exact"/>
              <w:rPr>
                <w:rFonts w:hint="eastAsia" w:cs="宋体"/>
                <w:color w:val="000000"/>
                <w:kern w:val="0"/>
              </w:rPr>
            </w:pPr>
            <w:r>
              <w:rPr>
                <w:rFonts w:hint="eastAsia" w:cs="宋体"/>
                <w:color w:val="000000"/>
                <w:kern w:val="0"/>
              </w:rPr>
              <w:t>系统应支持不同科室/医疗组/编码员病案首页的质量情况进行分析，至少应包括：病案首页问题、平均问题数、平均分、首页等级等质量情况分布。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Merge w:val="restart"/>
            <w:vAlign w:val="center"/>
          </w:tcPr>
          <w:p>
            <w:pPr>
              <w:spacing w:line="400" w:lineRule="exact"/>
              <w:ind w:firstLine="0" w:firstLineChars="0"/>
              <w:jc w:val="center"/>
              <w:rPr>
                <w:rFonts w:hint="eastAsia" w:cs="宋体"/>
                <w:color w:val="000000"/>
                <w:kern w:val="0"/>
              </w:rPr>
            </w:pPr>
            <w:r>
              <w:rPr>
                <w:rFonts w:hint="eastAsia" w:cs="宋体"/>
                <w:color w:val="000000"/>
                <w:kern w:val="0"/>
              </w:rPr>
              <w:t>病案问题分析</w:t>
            </w:r>
          </w:p>
        </w:tc>
        <w:tc>
          <w:tcPr>
            <w:tcW w:w="5855" w:type="dxa"/>
            <w:vAlign w:val="center"/>
          </w:tcPr>
          <w:p>
            <w:pPr>
              <w:spacing w:line="400" w:lineRule="exact"/>
              <w:rPr>
                <w:rFonts w:hint="eastAsia" w:cs="宋体"/>
                <w:color w:val="000000"/>
                <w:kern w:val="0"/>
              </w:rPr>
            </w:pPr>
            <w:r>
              <w:rPr>
                <w:rFonts w:hint="eastAsia" w:cs="宋体"/>
                <w:color w:val="000000"/>
                <w:kern w:val="0"/>
              </w:rPr>
              <w:t>首页问题分析：支持查看病案的缺陷问题明细列表，可按质控点类型、是否单项否决、专科类型等条件搜索，查看病案缺陷问题的质控总数、不通过数、不通过率、修正问题数、修正率等。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Merge w:val="continue"/>
            <w:vAlign w:val="center"/>
          </w:tcPr>
          <w:p>
            <w:pPr>
              <w:spacing w:line="400" w:lineRule="exact"/>
              <w:ind w:firstLine="0" w:firstLineChars="0"/>
              <w:jc w:val="left"/>
              <w:rPr>
                <w:rFonts w:hint="eastAsia" w:cs="宋体"/>
                <w:color w:val="000000"/>
                <w:kern w:val="0"/>
              </w:rPr>
            </w:pPr>
          </w:p>
        </w:tc>
        <w:tc>
          <w:tcPr>
            <w:tcW w:w="5855" w:type="dxa"/>
            <w:vAlign w:val="center"/>
          </w:tcPr>
          <w:p>
            <w:pPr>
              <w:spacing w:line="400" w:lineRule="exact"/>
              <w:rPr>
                <w:rFonts w:hint="eastAsia" w:cs="宋体"/>
                <w:color w:val="000000"/>
                <w:kern w:val="0"/>
              </w:rPr>
            </w:pPr>
            <w:r>
              <w:rPr>
                <w:rFonts w:hint="eastAsia" w:cs="宋体"/>
                <w:color w:val="000000"/>
                <w:kern w:val="0"/>
              </w:rPr>
              <w:t>编码问题分析：支持查看病案编码的缺陷问题明细列表，包括病案编码缺陷问题的质控总数、不通过数、不通过率、修正问题数、修正率。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Merge w:val="continue"/>
            <w:vAlign w:val="center"/>
          </w:tcPr>
          <w:p>
            <w:pPr>
              <w:spacing w:line="400" w:lineRule="exact"/>
              <w:ind w:firstLine="0" w:firstLineChars="0"/>
              <w:jc w:val="left"/>
              <w:rPr>
                <w:rFonts w:hint="eastAsia" w:cs="宋体"/>
                <w:color w:val="000000"/>
                <w:kern w:val="0"/>
              </w:rPr>
            </w:pPr>
          </w:p>
        </w:tc>
        <w:tc>
          <w:tcPr>
            <w:tcW w:w="5855" w:type="dxa"/>
            <w:vAlign w:val="center"/>
          </w:tcPr>
          <w:p>
            <w:pPr>
              <w:spacing w:line="400" w:lineRule="exact"/>
              <w:jc w:val="left"/>
              <w:rPr>
                <w:rFonts w:hint="eastAsia" w:cs="宋体"/>
                <w:color w:val="000000"/>
                <w:kern w:val="0"/>
              </w:rPr>
            </w:pPr>
            <w:r>
              <w:rPr>
                <w:rFonts w:hint="eastAsia" w:cs="宋体"/>
                <w:color w:val="000000"/>
                <w:kern w:val="0"/>
              </w:rPr>
              <w:t>问题分析详情：支持点击缺陷问题下钻到问题分析详情，支持以科室/医疗组/医生展示缺陷问题发生的问题首页数、失败率、修正首页数、问题修正率。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评分表分析</w:t>
            </w:r>
          </w:p>
        </w:tc>
        <w:tc>
          <w:tcPr>
            <w:tcW w:w="5855" w:type="dxa"/>
            <w:vAlign w:val="center"/>
          </w:tcPr>
          <w:p>
            <w:pPr>
              <w:spacing w:line="400" w:lineRule="exact"/>
              <w:rPr>
                <w:rFonts w:hint="eastAsia" w:cs="宋体"/>
                <w:color w:val="000000"/>
                <w:kern w:val="0"/>
              </w:rPr>
            </w:pPr>
            <w:r>
              <w:rPr>
                <w:rFonts w:hint="eastAsia" w:cs="宋体"/>
                <w:color w:val="000000"/>
                <w:kern w:val="0"/>
              </w:rPr>
              <w:t>支持以表格的形式，对各科室/医疗组/医生的首页评分情况进行统计分析，包括首页数、首页平均分、优级/良级/可级/差级首页占比、首页平均问题。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首页质量管理分析</w:t>
            </w:r>
          </w:p>
        </w:tc>
        <w:tc>
          <w:tcPr>
            <w:tcW w:w="5855" w:type="dxa"/>
            <w:vAlign w:val="center"/>
          </w:tcPr>
          <w:p>
            <w:pPr>
              <w:spacing w:line="400" w:lineRule="exact"/>
              <w:rPr>
                <w:rFonts w:hint="eastAsia" w:cs="宋体"/>
                <w:color w:val="000000"/>
                <w:kern w:val="0"/>
              </w:rPr>
            </w:pPr>
            <w:r>
              <w:rPr>
                <w:rFonts w:hint="eastAsia" w:cs="宋体"/>
                <w:color w:val="000000"/>
                <w:kern w:val="0"/>
              </w:rPr>
              <w:t>支持以柱状图展示各科室/医疗组/编码员/质控员的质控首页情况分布，并以表格的形式展示各科室/医疗组/编码员/质控员的首页数、质控首页数、首页质控率，支持下钻到详细病案列表。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restart"/>
            <w:vAlign w:val="center"/>
          </w:tcPr>
          <w:p>
            <w:pPr>
              <w:spacing w:line="400" w:lineRule="exact"/>
              <w:ind w:firstLine="0" w:firstLineChars="0"/>
              <w:jc w:val="center"/>
              <w:rPr>
                <w:rFonts w:hint="eastAsia" w:cs="宋体"/>
                <w:color w:val="000000"/>
                <w:kern w:val="0"/>
              </w:rPr>
            </w:pPr>
            <w:r>
              <w:rPr>
                <w:rFonts w:hint="eastAsia" w:cs="宋体"/>
                <w:color w:val="000000"/>
                <w:kern w:val="0"/>
              </w:rPr>
              <w:t>质控点配置</w:t>
            </w:r>
          </w:p>
        </w:tc>
        <w:tc>
          <w:tcPr>
            <w:tcW w:w="1115" w:type="dxa"/>
            <w:vAlign w:val="center"/>
          </w:tcPr>
          <w:p>
            <w:pPr>
              <w:spacing w:line="400" w:lineRule="exact"/>
              <w:ind w:firstLine="0" w:firstLineChars="0"/>
              <w:jc w:val="left"/>
              <w:rPr>
                <w:rFonts w:hint="eastAsia" w:cs="宋体"/>
                <w:color w:val="000000"/>
                <w:kern w:val="0"/>
              </w:rPr>
            </w:pPr>
            <w:r>
              <w:rPr>
                <w:rFonts w:hint="eastAsia" w:cs="宋体"/>
                <w:color w:val="000000"/>
                <w:kern w:val="0"/>
              </w:rPr>
              <w:t>首页质控点查看</w:t>
            </w:r>
          </w:p>
        </w:tc>
        <w:tc>
          <w:tcPr>
            <w:tcW w:w="5855" w:type="dxa"/>
            <w:vAlign w:val="center"/>
          </w:tcPr>
          <w:p>
            <w:pPr>
              <w:spacing w:line="400" w:lineRule="exact"/>
              <w:jc w:val="left"/>
              <w:rPr>
                <w:rFonts w:hint="eastAsia" w:cs="宋体"/>
                <w:color w:val="000000"/>
                <w:kern w:val="0"/>
              </w:rPr>
            </w:pPr>
            <w:r>
              <w:rPr>
                <w:rFonts w:hint="eastAsia" w:cs="宋体"/>
                <w:color w:val="000000"/>
                <w:kern w:val="0"/>
              </w:rPr>
              <w:t>支持按质控点名称/质控逻辑、质控点类型、专科类型、提醒级别等维度进行检索并查看全院首页相关的质控点。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Align w:val="center"/>
          </w:tcPr>
          <w:p>
            <w:pPr>
              <w:spacing w:line="400" w:lineRule="exact"/>
              <w:ind w:firstLine="0" w:firstLineChars="0"/>
              <w:jc w:val="left"/>
              <w:rPr>
                <w:rFonts w:hint="eastAsia" w:cs="宋体"/>
                <w:color w:val="000000"/>
                <w:kern w:val="0"/>
              </w:rPr>
            </w:pPr>
            <w:r>
              <w:rPr>
                <w:rFonts w:hint="eastAsia" w:cs="宋体"/>
                <w:color w:val="000000"/>
                <w:kern w:val="0"/>
              </w:rPr>
              <w:t>编码质控点查看</w:t>
            </w:r>
          </w:p>
        </w:tc>
        <w:tc>
          <w:tcPr>
            <w:tcW w:w="5855" w:type="dxa"/>
            <w:vAlign w:val="center"/>
          </w:tcPr>
          <w:p>
            <w:pPr>
              <w:spacing w:line="400" w:lineRule="exact"/>
              <w:jc w:val="left"/>
              <w:rPr>
                <w:rFonts w:hint="eastAsia" w:cs="宋体"/>
                <w:color w:val="000000"/>
                <w:kern w:val="0"/>
              </w:rPr>
            </w:pPr>
            <w:r>
              <w:rPr>
                <w:rFonts w:hint="eastAsia" w:cs="宋体"/>
                <w:color w:val="000000"/>
                <w:kern w:val="0"/>
              </w:rPr>
              <w:t>支持按质控点原文、章节、专业类型、提醒级别等维度检索并查看手术/诊断编码相关的质控点。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Merge w:val="restart"/>
            <w:vAlign w:val="center"/>
          </w:tcPr>
          <w:p>
            <w:pPr>
              <w:spacing w:line="400" w:lineRule="exact"/>
              <w:ind w:firstLine="0" w:firstLineChars="0"/>
              <w:jc w:val="center"/>
              <w:rPr>
                <w:rFonts w:hint="eastAsia" w:cs="宋体"/>
                <w:color w:val="000000"/>
                <w:kern w:val="0"/>
              </w:rPr>
            </w:pPr>
            <w:r>
              <w:rPr>
                <w:rFonts w:hint="eastAsia" w:cs="宋体"/>
                <w:color w:val="000000"/>
                <w:kern w:val="0"/>
              </w:rPr>
              <w:t>质控点维护</w:t>
            </w:r>
          </w:p>
        </w:tc>
        <w:tc>
          <w:tcPr>
            <w:tcW w:w="5855" w:type="dxa"/>
            <w:vAlign w:val="center"/>
          </w:tcPr>
          <w:p>
            <w:pPr>
              <w:spacing w:line="400" w:lineRule="exact"/>
              <w:jc w:val="left"/>
              <w:rPr>
                <w:rFonts w:hint="eastAsia" w:cs="宋体"/>
                <w:color w:val="000000"/>
                <w:kern w:val="0"/>
              </w:rPr>
            </w:pPr>
            <w:r>
              <w:rPr>
                <w:rFonts w:hint="eastAsia" w:cs="宋体"/>
                <w:color w:val="000000"/>
                <w:kern w:val="0"/>
              </w:rPr>
              <w:t>系统设置支持临床版和病案版的首页质控点及编码质控点的配置，包括质控点的关闭、开启、医生端是否提醒等操作。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tcPr>
          <w:p>
            <w:pPr>
              <w:spacing w:line="400" w:lineRule="exact"/>
              <w:ind w:firstLine="0" w:firstLineChars="0"/>
              <w:jc w:val="left"/>
              <w:rPr>
                <w:rFonts w:hint="eastAsia" w:cs="宋体"/>
                <w:color w:val="000000"/>
                <w:kern w:val="0"/>
              </w:rPr>
            </w:pPr>
          </w:p>
        </w:tc>
        <w:tc>
          <w:tcPr>
            <w:tcW w:w="1115" w:type="dxa"/>
            <w:vMerge w:val="continue"/>
          </w:tcPr>
          <w:p>
            <w:pPr>
              <w:spacing w:line="400" w:lineRule="exact"/>
              <w:ind w:firstLine="0" w:firstLineChars="0"/>
              <w:jc w:val="center"/>
              <w:rPr>
                <w:rFonts w:hint="eastAsia" w:cs="宋体"/>
                <w:color w:val="000000"/>
                <w:kern w:val="0"/>
              </w:rPr>
            </w:pPr>
          </w:p>
        </w:tc>
        <w:tc>
          <w:tcPr>
            <w:tcW w:w="5855" w:type="dxa"/>
          </w:tcPr>
          <w:p>
            <w:pPr>
              <w:spacing w:line="400" w:lineRule="exact"/>
              <w:jc w:val="left"/>
              <w:rPr>
                <w:rFonts w:hint="eastAsia" w:cs="宋体"/>
                <w:color w:val="000000"/>
                <w:kern w:val="0"/>
              </w:rPr>
            </w:pPr>
            <w:r>
              <w:rPr>
                <w:rFonts w:hint="eastAsia" w:cs="宋体"/>
                <w:color w:val="000000"/>
                <w:kern w:val="0"/>
              </w:rPr>
              <w:t>支持对质控点的批量开启和关闭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Merge w:val="continue"/>
            <w:vAlign w:val="center"/>
          </w:tcPr>
          <w:p>
            <w:pPr>
              <w:spacing w:line="400" w:lineRule="exact"/>
              <w:ind w:firstLine="0" w:firstLineChars="0"/>
              <w:jc w:val="left"/>
              <w:rPr>
                <w:rFonts w:hint="eastAsia" w:cs="宋体"/>
                <w:color w:val="000000"/>
                <w:kern w:val="0"/>
              </w:rPr>
            </w:pPr>
          </w:p>
        </w:tc>
        <w:tc>
          <w:tcPr>
            <w:tcW w:w="5855" w:type="dxa"/>
            <w:vAlign w:val="center"/>
          </w:tcPr>
          <w:p>
            <w:pPr>
              <w:spacing w:line="400" w:lineRule="exact"/>
              <w:jc w:val="left"/>
              <w:rPr>
                <w:rFonts w:hint="eastAsia" w:cs="宋体"/>
                <w:color w:val="000000"/>
                <w:kern w:val="0"/>
              </w:rPr>
            </w:pPr>
            <w:r>
              <w:rPr>
                <w:rFonts w:hint="eastAsia" w:cs="宋体"/>
                <w:color w:val="000000"/>
                <w:kern w:val="0"/>
              </w:rPr>
              <w:t>支持质控点的质控级别进行配置，支持3级配置（1级：小图标；2级：浮窗；3级：大窗弹出卡控），3级为最高级别。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1326" w:type="dxa"/>
            <w:vMerge w:val="restart"/>
            <w:vAlign w:val="center"/>
          </w:tcPr>
          <w:p>
            <w:pPr>
              <w:spacing w:line="400" w:lineRule="exact"/>
              <w:ind w:firstLine="0" w:firstLineChars="0"/>
              <w:jc w:val="left"/>
              <w:rPr>
                <w:rFonts w:hint="eastAsia" w:cs="宋体"/>
                <w:color w:val="000000"/>
                <w:kern w:val="0"/>
              </w:rPr>
            </w:pPr>
            <w:r>
              <w:rPr>
                <w:rFonts w:hint="eastAsia" w:cs="宋体"/>
                <w:color w:val="000000"/>
                <w:kern w:val="0"/>
              </w:rPr>
              <w:t>评分表配置</w:t>
            </w:r>
          </w:p>
        </w:tc>
        <w:tc>
          <w:tcPr>
            <w:tcW w:w="1115" w:type="dxa"/>
            <w:vMerge w:val="restart"/>
            <w:vAlign w:val="center"/>
          </w:tcPr>
          <w:p>
            <w:pPr>
              <w:spacing w:line="400" w:lineRule="exact"/>
              <w:ind w:firstLine="0" w:firstLineChars="0"/>
              <w:jc w:val="left"/>
              <w:rPr>
                <w:rFonts w:hint="eastAsia" w:cs="宋体"/>
                <w:color w:val="000000"/>
                <w:kern w:val="0"/>
              </w:rPr>
            </w:pPr>
            <w:r>
              <w:rPr>
                <w:rFonts w:hint="eastAsia" w:cs="宋体"/>
                <w:color w:val="000000"/>
                <w:kern w:val="0"/>
              </w:rPr>
              <w:t>评分表配置</w:t>
            </w:r>
          </w:p>
        </w:tc>
        <w:tc>
          <w:tcPr>
            <w:tcW w:w="5855" w:type="dxa"/>
            <w:vAlign w:val="center"/>
          </w:tcPr>
          <w:p>
            <w:pPr>
              <w:spacing w:line="400" w:lineRule="exact"/>
              <w:jc w:val="left"/>
              <w:rPr>
                <w:rFonts w:hint="eastAsia" w:cs="宋体"/>
                <w:color w:val="000000"/>
                <w:kern w:val="0"/>
              </w:rPr>
            </w:pPr>
            <w:r>
              <w:rPr>
                <w:rFonts w:hint="eastAsia" w:cs="宋体"/>
                <w:color w:val="000000"/>
                <w:kern w:val="0"/>
              </w:rPr>
              <w:t>支持对临床版和病案版评分表的自定义配置功能，可对评分表进行启用、提醒端是否提示、病案等级是否提示等操作。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Merge w:val="continue"/>
            <w:vAlign w:val="center"/>
          </w:tcPr>
          <w:p>
            <w:pPr>
              <w:spacing w:line="400" w:lineRule="exact"/>
              <w:ind w:firstLine="0" w:firstLineChars="0"/>
              <w:jc w:val="left"/>
              <w:rPr>
                <w:rFonts w:hint="eastAsia" w:cs="宋体"/>
                <w:color w:val="000000"/>
                <w:kern w:val="0"/>
              </w:rPr>
            </w:pPr>
          </w:p>
        </w:tc>
        <w:tc>
          <w:tcPr>
            <w:tcW w:w="5855" w:type="dxa"/>
            <w:vAlign w:val="center"/>
          </w:tcPr>
          <w:p>
            <w:pPr>
              <w:spacing w:line="400" w:lineRule="exact"/>
              <w:jc w:val="left"/>
              <w:rPr>
                <w:rFonts w:hint="eastAsia" w:cs="宋体"/>
                <w:color w:val="000000"/>
                <w:kern w:val="0"/>
              </w:rPr>
            </w:pPr>
            <w:r>
              <w:rPr>
                <w:rFonts w:hint="eastAsia" w:cs="宋体"/>
                <w:color w:val="000000"/>
                <w:kern w:val="0"/>
              </w:rPr>
              <w:t>系统需内置多版本评分表模板，方便医院在模板基础上快速自定义编辑修改。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Merge w:val="continue"/>
            <w:vAlign w:val="center"/>
          </w:tcPr>
          <w:p>
            <w:pPr>
              <w:spacing w:line="400" w:lineRule="exact"/>
              <w:ind w:firstLine="0" w:firstLineChars="0"/>
              <w:jc w:val="left"/>
              <w:rPr>
                <w:rFonts w:hint="eastAsia" w:cs="宋体"/>
                <w:color w:val="000000"/>
                <w:kern w:val="0"/>
              </w:rPr>
            </w:pPr>
          </w:p>
        </w:tc>
        <w:tc>
          <w:tcPr>
            <w:tcW w:w="5855" w:type="dxa"/>
            <w:vAlign w:val="center"/>
          </w:tcPr>
          <w:p>
            <w:pPr>
              <w:spacing w:line="400" w:lineRule="exact"/>
              <w:jc w:val="left"/>
              <w:rPr>
                <w:rFonts w:hint="eastAsia" w:cs="宋体"/>
                <w:color w:val="000000"/>
                <w:kern w:val="0"/>
              </w:rPr>
            </w:pPr>
            <w:r>
              <w:rPr>
                <w:rFonts w:hint="eastAsia" w:cs="Times New Roman"/>
                <w:kern w:val="0"/>
                <w:lang w:bidi="ar"/>
              </w:rPr>
              <w:t>★</w:t>
            </w:r>
            <w:r>
              <w:rPr>
                <w:rFonts w:cs="宋体"/>
              </w:rPr>
              <w:t xml:space="preserve"> </w:t>
            </w:r>
            <w:r>
              <w:rPr>
                <w:rFonts w:hint="eastAsia" w:cs="宋体"/>
                <w:color w:val="000000"/>
                <w:kern w:val="0"/>
              </w:rPr>
              <w:t>支持新增、修改、删除具体评分项，评分项需包括：类型、项目分值、评分标准、评分方法、分值设置、扣分逻辑、单项缺陷设置及关联质控点等模块。支持单项否决、单项否决乙级、单项否决丙级的配置；并能满足单项扣分与累计扣分两种扣分逻辑，可编辑评分表名称与病案等级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restart"/>
            <w:vAlign w:val="center"/>
          </w:tcPr>
          <w:p>
            <w:pPr>
              <w:spacing w:line="400" w:lineRule="exact"/>
              <w:ind w:firstLine="0" w:firstLineChars="0"/>
              <w:jc w:val="center"/>
              <w:rPr>
                <w:rFonts w:hint="eastAsia" w:cs="宋体"/>
                <w:color w:val="000000"/>
                <w:kern w:val="0"/>
              </w:rPr>
            </w:pPr>
            <w:r>
              <w:rPr>
                <w:rFonts w:hint="eastAsia" w:cs="宋体"/>
                <w:color w:val="000000"/>
                <w:kern w:val="0"/>
              </w:rPr>
              <w:t>权限配置</w:t>
            </w: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用户管理</w:t>
            </w:r>
          </w:p>
        </w:tc>
        <w:tc>
          <w:tcPr>
            <w:tcW w:w="5855" w:type="dxa"/>
            <w:vAlign w:val="center"/>
          </w:tcPr>
          <w:p>
            <w:pPr>
              <w:spacing w:line="400" w:lineRule="exact"/>
              <w:jc w:val="left"/>
              <w:rPr>
                <w:rFonts w:hint="eastAsia" w:cs="宋体"/>
                <w:color w:val="000000"/>
                <w:kern w:val="0"/>
              </w:rPr>
            </w:pPr>
            <w:r>
              <w:rPr>
                <w:rFonts w:hint="eastAsia" w:cs="宋体"/>
                <w:color w:val="000000"/>
                <w:kern w:val="0"/>
              </w:rPr>
              <w:t>系统支持管理员设置不同角色权限，不同权限的角色在使用时功能模块和数据不一致。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功能权限</w:t>
            </w:r>
          </w:p>
        </w:tc>
        <w:tc>
          <w:tcPr>
            <w:tcW w:w="5855" w:type="dxa"/>
            <w:vAlign w:val="center"/>
          </w:tcPr>
          <w:p>
            <w:pPr>
              <w:spacing w:line="400" w:lineRule="exact"/>
              <w:jc w:val="left"/>
              <w:rPr>
                <w:rFonts w:hint="eastAsia" w:cs="宋体"/>
                <w:color w:val="000000"/>
                <w:kern w:val="0"/>
              </w:rPr>
            </w:pPr>
            <w:r>
              <w:rPr>
                <w:rFonts w:hint="eastAsia" w:cs="宋体"/>
                <w:color w:val="000000"/>
                <w:kern w:val="0"/>
              </w:rPr>
              <w:t>系统支持管理员对角色的功能模块权限进行自定义配置管理。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Align w:val="center"/>
          </w:tcPr>
          <w:p>
            <w:pPr>
              <w:spacing w:line="400" w:lineRule="exact"/>
              <w:ind w:firstLine="0" w:firstLineChars="0"/>
              <w:jc w:val="center"/>
              <w:rPr>
                <w:rFonts w:hint="eastAsia" w:cs="宋体"/>
                <w:kern w:val="0"/>
                <w:sz w:val="21"/>
                <w:szCs w:val="21"/>
              </w:rPr>
            </w:pPr>
            <w:r>
              <w:rPr>
                <w:rFonts w:cs="宋体"/>
                <w:kern w:val="0"/>
                <w:sz w:val="21"/>
                <w:szCs w:val="21"/>
              </w:rPr>
              <w:t>扩展性</w:t>
            </w:r>
          </w:p>
        </w:tc>
        <w:tc>
          <w:tcPr>
            <w:tcW w:w="5855" w:type="dxa"/>
            <w:vAlign w:val="center"/>
          </w:tcPr>
          <w:p>
            <w:pPr>
              <w:spacing w:line="400" w:lineRule="exact"/>
              <w:ind w:firstLine="420"/>
              <w:jc w:val="left"/>
              <w:rPr>
                <w:rFonts w:hint="eastAsia" w:cs="宋体"/>
                <w:kern w:val="0"/>
                <w:sz w:val="21"/>
                <w:szCs w:val="21"/>
              </w:rPr>
            </w:pPr>
            <w:r>
              <w:rPr>
                <w:rFonts w:cs="宋体"/>
                <w:kern w:val="0"/>
                <w:sz w:val="21"/>
                <w:szCs w:val="21"/>
              </w:rPr>
              <w:t>系统技术架构具备可扩展性，后期可升级配置大模型质控引擎。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数据权限</w:t>
            </w:r>
          </w:p>
        </w:tc>
        <w:tc>
          <w:tcPr>
            <w:tcW w:w="5855" w:type="dxa"/>
            <w:vAlign w:val="center"/>
          </w:tcPr>
          <w:p>
            <w:pPr>
              <w:spacing w:line="400" w:lineRule="exact"/>
              <w:jc w:val="left"/>
              <w:rPr>
                <w:rFonts w:hint="eastAsia" w:cs="宋体"/>
                <w:color w:val="000000"/>
                <w:kern w:val="0"/>
              </w:rPr>
            </w:pPr>
            <w:r>
              <w:rPr>
                <w:rFonts w:hint="eastAsia" w:cs="宋体"/>
                <w:color w:val="000000"/>
                <w:kern w:val="0"/>
              </w:rPr>
              <w:t>系统支持管理员对角色数据查看权限的范围进行自定义配置管理。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restart"/>
            <w:vAlign w:val="center"/>
          </w:tcPr>
          <w:p>
            <w:pPr>
              <w:spacing w:line="400" w:lineRule="exact"/>
              <w:ind w:firstLine="0" w:firstLineChars="0"/>
              <w:jc w:val="center"/>
              <w:rPr>
                <w:rFonts w:hint="eastAsia" w:cs="宋体"/>
                <w:color w:val="000000"/>
                <w:kern w:val="0"/>
              </w:rPr>
            </w:pPr>
            <w:r>
              <w:rPr>
                <w:rFonts w:hint="eastAsia" w:cs="宋体"/>
                <w:color w:val="000000"/>
                <w:kern w:val="0"/>
              </w:rPr>
              <w:t>病案形式质控点</w:t>
            </w:r>
          </w:p>
        </w:tc>
        <w:tc>
          <w:tcPr>
            <w:tcW w:w="1115" w:type="dxa"/>
            <w:vMerge w:val="restart"/>
            <w:vAlign w:val="center"/>
          </w:tcPr>
          <w:p>
            <w:pPr>
              <w:spacing w:line="400" w:lineRule="exact"/>
              <w:ind w:firstLine="0" w:firstLineChars="0"/>
              <w:jc w:val="center"/>
              <w:rPr>
                <w:rFonts w:hint="eastAsia" w:cs="宋体"/>
                <w:color w:val="000000"/>
                <w:kern w:val="0"/>
              </w:rPr>
            </w:pPr>
            <w:r>
              <w:rPr>
                <w:rFonts w:hint="eastAsia" w:cs="宋体"/>
                <w:color w:val="000000"/>
                <w:kern w:val="0"/>
              </w:rPr>
              <w:t>病案首页数据完整性质控点</w:t>
            </w:r>
          </w:p>
        </w:tc>
        <w:tc>
          <w:tcPr>
            <w:tcW w:w="5855" w:type="dxa"/>
            <w:vAlign w:val="center"/>
          </w:tcPr>
          <w:p>
            <w:pPr>
              <w:spacing w:line="400" w:lineRule="exact"/>
              <w:jc w:val="left"/>
              <w:rPr>
                <w:rFonts w:hint="eastAsia" w:cs="宋体"/>
                <w:color w:val="000000"/>
                <w:kern w:val="0"/>
              </w:rPr>
            </w:pPr>
            <w:r>
              <w:rPr>
                <w:rFonts w:hint="eastAsia" w:cs="宋体"/>
                <w:color w:val="000000"/>
                <w:kern w:val="0"/>
              </w:rPr>
              <w:t>满足国卫办医发〔</w:t>
            </w:r>
            <w:r>
              <w:rPr>
                <w:color w:val="000000"/>
                <w:kern w:val="0"/>
              </w:rPr>
              <w:t>2016</w:t>
            </w:r>
            <w:r>
              <w:rPr>
                <w:rFonts w:hint="eastAsia" w:cs="宋体"/>
                <w:color w:val="000000"/>
                <w:kern w:val="0"/>
              </w:rPr>
              <w:t>〕</w:t>
            </w:r>
            <w:r>
              <w:rPr>
                <w:color w:val="000000"/>
                <w:kern w:val="0"/>
              </w:rPr>
              <w:t>24</w:t>
            </w:r>
            <w:r>
              <w:rPr>
                <w:rFonts w:hint="eastAsia" w:cs="宋体"/>
                <w:color w:val="000000"/>
                <w:kern w:val="0"/>
              </w:rPr>
              <w:t>号《国家卫生计生委办公厅关于印发住院病案首页数据填写质量规范（暂行）和住院病案首页数据质量管理与控制指标（</w:t>
            </w:r>
            <w:r>
              <w:rPr>
                <w:color w:val="000000"/>
                <w:kern w:val="0"/>
              </w:rPr>
              <w:t>2016</w:t>
            </w:r>
            <w:r>
              <w:rPr>
                <w:rFonts w:hint="eastAsia" w:cs="宋体"/>
                <w:color w:val="000000"/>
                <w:kern w:val="0"/>
              </w:rPr>
              <w:t>版）的通知》中病案首页数据质量填写规范的要求。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highlight w:val="yellow"/>
              </w:rPr>
            </w:pPr>
          </w:p>
        </w:tc>
        <w:tc>
          <w:tcPr>
            <w:tcW w:w="1115" w:type="dxa"/>
            <w:vMerge w:val="continue"/>
            <w:vAlign w:val="center"/>
          </w:tcPr>
          <w:p>
            <w:pPr>
              <w:spacing w:line="400" w:lineRule="exact"/>
              <w:ind w:firstLine="0" w:firstLineChars="0"/>
              <w:jc w:val="left"/>
              <w:rPr>
                <w:rFonts w:hint="eastAsia" w:cs="宋体"/>
                <w:color w:val="000000"/>
                <w:kern w:val="0"/>
                <w:highlight w:val="yellow"/>
              </w:rPr>
            </w:pPr>
          </w:p>
        </w:tc>
        <w:tc>
          <w:tcPr>
            <w:tcW w:w="5855" w:type="dxa"/>
            <w:vAlign w:val="center"/>
          </w:tcPr>
          <w:p>
            <w:pPr>
              <w:spacing w:line="400" w:lineRule="exact"/>
              <w:jc w:val="left"/>
              <w:rPr>
                <w:rFonts w:hint="eastAsia" w:cs="宋体"/>
                <w:color w:val="000000"/>
                <w:kern w:val="0"/>
              </w:rPr>
            </w:pPr>
            <w:r>
              <w:rPr>
                <w:rFonts w:hint="eastAsia" w:cs="宋体"/>
                <w:color w:val="000000"/>
                <w:kern w:val="0"/>
              </w:rPr>
              <w:t>可质检首页字段完整性：</w:t>
            </w:r>
          </w:p>
          <w:p>
            <w:pPr>
              <w:numPr>
                <w:ilvl w:val="0"/>
                <w:numId w:val="3"/>
              </w:numPr>
              <w:spacing w:line="400" w:lineRule="exact"/>
              <w:ind w:hanging="2" w:firstLineChars="0"/>
              <w:jc w:val="left"/>
              <w:rPr>
                <w:rFonts w:hint="eastAsia"/>
              </w:rPr>
            </w:pPr>
            <w:r>
              <w:rPr>
                <w:rFonts w:hint="eastAsia"/>
              </w:rPr>
              <w:t>病案首页病案号完整性质检</w:t>
            </w:r>
          </w:p>
          <w:p>
            <w:pPr>
              <w:numPr>
                <w:ilvl w:val="0"/>
                <w:numId w:val="3"/>
              </w:numPr>
              <w:spacing w:line="400" w:lineRule="exact"/>
              <w:ind w:hanging="2" w:firstLineChars="0"/>
              <w:jc w:val="left"/>
              <w:rPr>
                <w:rFonts w:hint="eastAsia"/>
              </w:rPr>
            </w:pPr>
            <w:r>
              <w:rPr>
                <w:rFonts w:hint="eastAsia"/>
              </w:rPr>
              <w:t>病案首页籍贯完整性质检</w:t>
            </w:r>
          </w:p>
          <w:p>
            <w:pPr>
              <w:numPr>
                <w:ilvl w:val="0"/>
                <w:numId w:val="3"/>
              </w:numPr>
              <w:spacing w:line="400" w:lineRule="exact"/>
              <w:ind w:hanging="2" w:firstLineChars="0"/>
              <w:jc w:val="left"/>
              <w:rPr>
                <w:rFonts w:hint="eastAsia"/>
              </w:rPr>
            </w:pPr>
            <w:r>
              <w:rPr>
                <w:rFonts w:hint="eastAsia"/>
              </w:rPr>
              <w:t>病案首页民族完整性质检</w:t>
            </w:r>
          </w:p>
          <w:p>
            <w:pPr>
              <w:numPr>
                <w:ilvl w:val="0"/>
                <w:numId w:val="3"/>
              </w:numPr>
              <w:spacing w:line="400" w:lineRule="exact"/>
              <w:ind w:hanging="2" w:firstLineChars="0"/>
              <w:jc w:val="left"/>
              <w:rPr>
                <w:rFonts w:hint="eastAsia"/>
              </w:rPr>
            </w:pPr>
            <w:r>
              <w:rPr>
                <w:rFonts w:hint="eastAsia"/>
              </w:rPr>
              <w:t>病案首页国籍完整性质检</w:t>
            </w:r>
          </w:p>
          <w:p>
            <w:pPr>
              <w:numPr>
                <w:ilvl w:val="0"/>
                <w:numId w:val="3"/>
              </w:numPr>
              <w:spacing w:line="400" w:lineRule="exact"/>
              <w:ind w:hanging="2" w:firstLineChars="0"/>
              <w:jc w:val="left"/>
              <w:rPr>
                <w:rFonts w:hint="eastAsia"/>
              </w:rPr>
            </w:pPr>
            <w:r>
              <w:rPr>
                <w:rFonts w:hint="eastAsia"/>
              </w:rPr>
              <w:t>病案首页身份证号完整性质检</w:t>
            </w:r>
          </w:p>
          <w:p>
            <w:pPr>
              <w:numPr>
                <w:ilvl w:val="0"/>
                <w:numId w:val="3"/>
              </w:numPr>
              <w:spacing w:line="400" w:lineRule="exact"/>
              <w:ind w:hanging="2" w:firstLineChars="0"/>
              <w:jc w:val="left"/>
              <w:rPr>
                <w:rFonts w:hint="eastAsia"/>
              </w:rPr>
            </w:pPr>
            <w:r>
              <w:rPr>
                <w:rFonts w:hint="eastAsia"/>
              </w:rPr>
              <w:t>病案首页职业完整性质检</w:t>
            </w:r>
          </w:p>
          <w:p>
            <w:pPr>
              <w:numPr>
                <w:ilvl w:val="0"/>
                <w:numId w:val="3"/>
              </w:numPr>
              <w:spacing w:line="400" w:lineRule="exact"/>
              <w:ind w:hanging="2" w:firstLineChars="0"/>
              <w:jc w:val="left"/>
              <w:rPr>
                <w:rFonts w:hint="eastAsia"/>
              </w:rPr>
            </w:pPr>
            <w:r>
              <w:rPr>
                <w:rFonts w:hint="eastAsia"/>
              </w:rPr>
              <w:t>病案首页婚姻状况完整性质检</w:t>
            </w:r>
          </w:p>
          <w:p>
            <w:pPr>
              <w:numPr>
                <w:ilvl w:val="0"/>
                <w:numId w:val="3"/>
              </w:numPr>
              <w:spacing w:line="400" w:lineRule="exact"/>
              <w:ind w:hanging="2" w:firstLineChars="0"/>
              <w:jc w:val="left"/>
              <w:rPr>
                <w:rFonts w:hint="eastAsia"/>
              </w:rPr>
            </w:pPr>
            <w:r>
              <w:rPr>
                <w:rFonts w:hint="eastAsia"/>
              </w:rPr>
              <w:t>病案首页现住址完整性质检</w:t>
            </w:r>
          </w:p>
          <w:p>
            <w:pPr>
              <w:numPr>
                <w:ilvl w:val="0"/>
                <w:numId w:val="3"/>
              </w:numPr>
              <w:spacing w:line="400" w:lineRule="exact"/>
              <w:ind w:hanging="2" w:firstLineChars="0"/>
              <w:jc w:val="left"/>
              <w:rPr>
                <w:rFonts w:hint="eastAsia"/>
              </w:rPr>
            </w:pPr>
            <w:r>
              <w:rPr>
                <w:rFonts w:hint="eastAsia"/>
              </w:rPr>
              <w:t>病案首页住址电话号码完整性质检</w:t>
            </w:r>
          </w:p>
          <w:p>
            <w:pPr>
              <w:numPr>
                <w:ilvl w:val="0"/>
                <w:numId w:val="3"/>
              </w:numPr>
              <w:spacing w:line="400" w:lineRule="exact"/>
              <w:ind w:hanging="2" w:firstLineChars="0"/>
              <w:jc w:val="left"/>
              <w:rPr>
                <w:rFonts w:hint="eastAsia"/>
              </w:rPr>
            </w:pPr>
            <w:r>
              <w:rPr>
                <w:rFonts w:hint="eastAsia"/>
              </w:rPr>
              <w:t>病案首页现住址邮编完整性质检</w:t>
            </w:r>
          </w:p>
          <w:p>
            <w:pPr>
              <w:numPr>
                <w:ilvl w:val="0"/>
                <w:numId w:val="3"/>
              </w:numPr>
              <w:spacing w:line="400" w:lineRule="exact"/>
              <w:ind w:hanging="2" w:firstLineChars="0"/>
              <w:jc w:val="left"/>
              <w:rPr>
                <w:rFonts w:hint="eastAsia"/>
              </w:rPr>
            </w:pPr>
            <w:r>
              <w:rPr>
                <w:rFonts w:hint="eastAsia"/>
              </w:rPr>
              <w:t>病案首页性别完整性质检</w:t>
            </w:r>
          </w:p>
          <w:p>
            <w:pPr>
              <w:numPr>
                <w:ilvl w:val="0"/>
                <w:numId w:val="3"/>
              </w:numPr>
              <w:spacing w:line="400" w:lineRule="exact"/>
              <w:ind w:hanging="2" w:firstLineChars="0"/>
              <w:jc w:val="left"/>
              <w:rPr>
                <w:rFonts w:hint="eastAsia"/>
              </w:rPr>
            </w:pPr>
            <w:r>
              <w:rPr>
                <w:rFonts w:hint="eastAsia"/>
              </w:rPr>
              <w:t>病案首页户口地址完整性质检</w:t>
            </w:r>
          </w:p>
          <w:p>
            <w:pPr>
              <w:numPr>
                <w:ilvl w:val="0"/>
                <w:numId w:val="3"/>
              </w:numPr>
              <w:spacing w:line="400" w:lineRule="exact"/>
              <w:ind w:hanging="2" w:firstLineChars="0"/>
              <w:jc w:val="left"/>
              <w:rPr>
                <w:rFonts w:hint="eastAsia"/>
              </w:rPr>
            </w:pPr>
            <w:r>
              <w:rPr>
                <w:rFonts w:hint="eastAsia"/>
              </w:rPr>
              <w:t>病案首页户口地址邮编完整性质检</w:t>
            </w:r>
          </w:p>
          <w:p>
            <w:pPr>
              <w:numPr>
                <w:ilvl w:val="0"/>
                <w:numId w:val="3"/>
              </w:numPr>
              <w:spacing w:line="400" w:lineRule="exact"/>
              <w:ind w:hanging="2" w:firstLineChars="0"/>
              <w:jc w:val="left"/>
              <w:rPr>
                <w:rFonts w:hint="eastAsia"/>
              </w:rPr>
            </w:pPr>
            <w:r>
              <w:rPr>
                <w:rFonts w:hint="eastAsia"/>
              </w:rPr>
              <w:t>病案首页工作单位及地址完整性质检</w:t>
            </w:r>
          </w:p>
          <w:p>
            <w:pPr>
              <w:numPr>
                <w:ilvl w:val="0"/>
                <w:numId w:val="3"/>
              </w:numPr>
              <w:spacing w:line="400" w:lineRule="exact"/>
              <w:ind w:hanging="2" w:firstLineChars="0"/>
              <w:jc w:val="left"/>
              <w:rPr>
                <w:rFonts w:hint="eastAsia"/>
              </w:rPr>
            </w:pPr>
            <w:r>
              <w:rPr>
                <w:rFonts w:hint="eastAsia"/>
              </w:rPr>
              <w:t>病案首页单位电话完整性质检</w:t>
            </w:r>
          </w:p>
          <w:p>
            <w:pPr>
              <w:numPr>
                <w:ilvl w:val="0"/>
                <w:numId w:val="3"/>
              </w:numPr>
              <w:spacing w:line="400" w:lineRule="exact"/>
              <w:ind w:hanging="2" w:firstLineChars="0"/>
              <w:jc w:val="left"/>
              <w:rPr>
                <w:rFonts w:hint="eastAsia"/>
              </w:rPr>
            </w:pPr>
            <w:r>
              <w:rPr>
                <w:rFonts w:hint="eastAsia"/>
              </w:rPr>
              <w:t>病案首页单位邮编完整性质检</w:t>
            </w:r>
          </w:p>
          <w:p>
            <w:pPr>
              <w:numPr>
                <w:ilvl w:val="0"/>
                <w:numId w:val="3"/>
              </w:numPr>
              <w:spacing w:line="400" w:lineRule="exact"/>
              <w:ind w:hanging="2" w:firstLineChars="0"/>
              <w:jc w:val="left"/>
              <w:rPr>
                <w:rFonts w:hint="eastAsia"/>
              </w:rPr>
            </w:pPr>
            <w:r>
              <w:rPr>
                <w:rFonts w:hint="eastAsia"/>
              </w:rPr>
              <w:t>病案首页联系人姓名完整性质检</w:t>
            </w:r>
          </w:p>
          <w:p>
            <w:pPr>
              <w:numPr>
                <w:ilvl w:val="0"/>
                <w:numId w:val="3"/>
              </w:numPr>
              <w:spacing w:line="400" w:lineRule="exact"/>
              <w:ind w:hanging="2" w:firstLineChars="0"/>
              <w:jc w:val="left"/>
              <w:rPr>
                <w:rFonts w:hint="eastAsia"/>
              </w:rPr>
            </w:pPr>
            <w:r>
              <w:rPr>
                <w:rFonts w:hint="eastAsia"/>
              </w:rPr>
              <w:t>病案首页关系完整性质检</w:t>
            </w:r>
          </w:p>
          <w:p>
            <w:pPr>
              <w:numPr>
                <w:ilvl w:val="0"/>
                <w:numId w:val="3"/>
              </w:numPr>
              <w:spacing w:line="400" w:lineRule="exact"/>
              <w:ind w:hanging="2" w:firstLineChars="0"/>
              <w:jc w:val="left"/>
              <w:rPr>
                <w:rFonts w:hint="eastAsia"/>
              </w:rPr>
            </w:pPr>
            <w:r>
              <w:rPr>
                <w:rFonts w:hint="eastAsia"/>
              </w:rPr>
              <w:t>病案首页联系人地址完整性质检</w:t>
            </w:r>
          </w:p>
          <w:p>
            <w:pPr>
              <w:numPr>
                <w:ilvl w:val="0"/>
                <w:numId w:val="3"/>
              </w:numPr>
              <w:spacing w:line="400" w:lineRule="exact"/>
              <w:ind w:hanging="2" w:firstLineChars="0"/>
              <w:jc w:val="left"/>
              <w:rPr>
                <w:rFonts w:hint="eastAsia"/>
              </w:rPr>
            </w:pPr>
            <w:r>
              <w:rPr>
                <w:rFonts w:hint="eastAsia"/>
              </w:rPr>
              <w:t>病案首页联系人电话号码完整性质检</w:t>
            </w:r>
          </w:p>
          <w:p>
            <w:pPr>
              <w:numPr>
                <w:ilvl w:val="0"/>
                <w:numId w:val="3"/>
              </w:numPr>
              <w:spacing w:line="400" w:lineRule="exact"/>
              <w:ind w:hanging="2" w:firstLineChars="0"/>
              <w:jc w:val="left"/>
              <w:rPr>
                <w:rFonts w:hint="eastAsia"/>
              </w:rPr>
            </w:pPr>
            <w:r>
              <w:rPr>
                <w:rFonts w:hint="eastAsia"/>
              </w:rPr>
              <w:t>病案首页出生日期完整性质检</w:t>
            </w:r>
          </w:p>
          <w:p>
            <w:pPr>
              <w:numPr>
                <w:ilvl w:val="0"/>
                <w:numId w:val="3"/>
              </w:numPr>
              <w:spacing w:line="400" w:lineRule="exact"/>
              <w:ind w:hanging="2" w:firstLineChars="0"/>
              <w:jc w:val="left"/>
              <w:rPr>
                <w:rFonts w:hint="eastAsia"/>
              </w:rPr>
            </w:pPr>
            <w:r>
              <w:rPr>
                <w:rFonts w:hint="eastAsia"/>
              </w:rPr>
              <w:t>病案首页年龄完整性质检</w:t>
            </w:r>
          </w:p>
          <w:p>
            <w:pPr>
              <w:numPr>
                <w:ilvl w:val="0"/>
                <w:numId w:val="3"/>
              </w:numPr>
              <w:spacing w:line="400" w:lineRule="exact"/>
              <w:ind w:hanging="2" w:firstLineChars="0"/>
              <w:jc w:val="left"/>
              <w:rPr>
                <w:rFonts w:hint="eastAsia"/>
              </w:rPr>
            </w:pPr>
            <w:r>
              <w:rPr>
                <w:rFonts w:hint="eastAsia"/>
              </w:rPr>
              <w:t>病案首页患者姓名完整性质检</w:t>
            </w:r>
          </w:p>
          <w:p>
            <w:pPr>
              <w:numPr>
                <w:ilvl w:val="0"/>
                <w:numId w:val="3"/>
              </w:numPr>
              <w:spacing w:line="400" w:lineRule="exact"/>
              <w:ind w:hanging="2" w:firstLineChars="0"/>
              <w:jc w:val="left"/>
              <w:rPr>
                <w:rFonts w:hint="eastAsia"/>
              </w:rPr>
            </w:pPr>
            <w:r>
              <w:rPr>
                <w:rFonts w:hint="eastAsia"/>
              </w:rPr>
              <w:t>病案首页出生地完整性质检</w:t>
            </w:r>
          </w:p>
          <w:p>
            <w:pPr>
              <w:numPr>
                <w:ilvl w:val="0"/>
                <w:numId w:val="3"/>
              </w:numPr>
              <w:spacing w:line="400" w:lineRule="exact"/>
              <w:ind w:hanging="2" w:firstLineChars="0"/>
              <w:jc w:val="left"/>
              <w:rPr>
                <w:rFonts w:hint="eastAsia"/>
              </w:rPr>
            </w:pPr>
            <w:r>
              <w:rPr>
                <w:rFonts w:hint="eastAsia"/>
              </w:rPr>
              <w:t>病案首页门诊诊断完整性质检</w:t>
            </w:r>
          </w:p>
          <w:p>
            <w:pPr>
              <w:numPr>
                <w:ilvl w:val="0"/>
                <w:numId w:val="3"/>
              </w:numPr>
              <w:spacing w:line="400" w:lineRule="exact"/>
              <w:ind w:hanging="2" w:firstLineChars="0"/>
              <w:jc w:val="left"/>
              <w:rPr>
                <w:rFonts w:hint="eastAsia"/>
              </w:rPr>
            </w:pPr>
            <w:r>
              <w:rPr>
                <w:rFonts w:hint="eastAsia"/>
              </w:rPr>
              <w:t>病案首页手术及操作名称完整性质检</w:t>
            </w:r>
          </w:p>
          <w:p>
            <w:pPr>
              <w:numPr>
                <w:ilvl w:val="0"/>
                <w:numId w:val="3"/>
              </w:numPr>
              <w:spacing w:line="400" w:lineRule="exact"/>
              <w:ind w:hanging="2" w:firstLineChars="0"/>
              <w:jc w:val="left"/>
              <w:rPr>
                <w:rFonts w:hint="eastAsia"/>
              </w:rPr>
            </w:pPr>
            <w:r>
              <w:rPr>
                <w:rFonts w:hint="eastAsia"/>
              </w:rPr>
              <w:t>病案首页血型完整性质检</w:t>
            </w:r>
          </w:p>
          <w:p>
            <w:pPr>
              <w:numPr>
                <w:ilvl w:val="0"/>
                <w:numId w:val="3"/>
              </w:numPr>
              <w:spacing w:line="400" w:lineRule="exact"/>
              <w:ind w:hanging="2" w:firstLineChars="0"/>
              <w:jc w:val="left"/>
              <w:rPr>
                <w:rFonts w:hint="eastAsia"/>
              </w:rPr>
            </w:pPr>
            <w:r>
              <w:rPr>
                <w:rFonts w:hint="eastAsia"/>
              </w:rPr>
              <w:t>病案首页主任（副主任）医师完整性质检</w:t>
            </w:r>
          </w:p>
          <w:p>
            <w:pPr>
              <w:numPr>
                <w:ilvl w:val="0"/>
                <w:numId w:val="3"/>
              </w:numPr>
              <w:spacing w:line="400" w:lineRule="exact"/>
              <w:ind w:hanging="2" w:firstLineChars="0"/>
              <w:jc w:val="left"/>
              <w:rPr>
                <w:rFonts w:hint="eastAsia"/>
              </w:rPr>
            </w:pPr>
            <w:r>
              <w:rPr>
                <w:rFonts w:hint="eastAsia"/>
              </w:rPr>
              <w:t>病案首页主治医师完整性质检</w:t>
            </w:r>
          </w:p>
          <w:p>
            <w:pPr>
              <w:numPr>
                <w:ilvl w:val="0"/>
                <w:numId w:val="3"/>
              </w:numPr>
              <w:spacing w:line="400" w:lineRule="exact"/>
              <w:ind w:hanging="2" w:firstLineChars="0"/>
              <w:jc w:val="left"/>
              <w:rPr>
                <w:rFonts w:hint="eastAsia"/>
              </w:rPr>
            </w:pPr>
            <w:r>
              <w:rPr>
                <w:rFonts w:hint="eastAsia"/>
              </w:rPr>
              <w:t>病案首页住院医师完整性质检</w:t>
            </w:r>
          </w:p>
          <w:p>
            <w:pPr>
              <w:numPr>
                <w:ilvl w:val="0"/>
                <w:numId w:val="3"/>
              </w:numPr>
              <w:spacing w:line="400" w:lineRule="exact"/>
              <w:ind w:hanging="2" w:firstLineChars="0"/>
              <w:jc w:val="left"/>
              <w:rPr>
                <w:rFonts w:hint="eastAsia"/>
              </w:rPr>
            </w:pPr>
            <w:r>
              <w:rPr>
                <w:rFonts w:hint="eastAsia"/>
              </w:rPr>
              <w:t>病案首页质控医师完整性质检</w:t>
            </w:r>
          </w:p>
          <w:p>
            <w:pPr>
              <w:numPr>
                <w:ilvl w:val="0"/>
                <w:numId w:val="3"/>
              </w:numPr>
              <w:spacing w:line="400" w:lineRule="exact"/>
              <w:ind w:hanging="2" w:firstLineChars="0"/>
              <w:jc w:val="left"/>
              <w:rPr>
                <w:rFonts w:hint="eastAsia"/>
              </w:rPr>
            </w:pPr>
            <w:r>
              <w:rPr>
                <w:rFonts w:hint="eastAsia"/>
              </w:rPr>
              <w:t>病案首页抢救成功次数完整性质检</w:t>
            </w:r>
          </w:p>
          <w:p>
            <w:pPr>
              <w:numPr>
                <w:ilvl w:val="0"/>
                <w:numId w:val="3"/>
              </w:numPr>
              <w:spacing w:line="400" w:lineRule="exact"/>
              <w:ind w:hanging="2" w:firstLineChars="0"/>
              <w:jc w:val="left"/>
              <w:rPr>
                <w:rFonts w:hint="eastAsia"/>
              </w:rPr>
            </w:pPr>
            <w:r>
              <w:rPr>
                <w:rFonts w:hint="eastAsia"/>
              </w:rPr>
              <w:t>病案首页抢救次数完整性质检</w:t>
            </w:r>
          </w:p>
          <w:p>
            <w:pPr>
              <w:numPr>
                <w:ilvl w:val="0"/>
                <w:numId w:val="3"/>
              </w:numPr>
              <w:spacing w:line="400" w:lineRule="exact"/>
              <w:ind w:hanging="2" w:firstLineChars="0"/>
              <w:jc w:val="left"/>
              <w:rPr>
                <w:rFonts w:hint="eastAsia"/>
              </w:rPr>
            </w:pPr>
            <w:r>
              <w:rPr>
                <w:rFonts w:hint="eastAsia"/>
              </w:rPr>
              <w:t>病案首页抢救情况完整性质检</w:t>
            </w:r>
          </w:p>
          <w:p>
            <w:pPr>
              <w:numPr>
                <w:ilvl w:val="0"/>
                <w:numId w:val="3"/>
              </w:numPr>
              <w:spacing w:line="400" w:lineRule="exact"/>
              <w:ind w:hanging="2" w:firstLineChars="0"/>
              <w:jc w:val="left"/>
              <w:rPr>
                <w:rFonts w:hint="eastAsia"/>
              </w:rPr>
            </w:pPr>
            <w:r>
              <w:rPr>
                <w:rFonts w:hint="eastAsia"/>
              </w:rPr>
              <w:t>病案首页主要诊断编码完整性质检</w:t>
            </w:r>
          </w:p>
          <w:p>
            <w:pPr>
              <w:numPr>
                <w:ilvl w:val="0"/>
                <w:numId w:val="3"/>
              </w:numPr>
              <w:spacing w:line="400" w:lineRule="exact"/>
              <w:ind w:hanging="2" w:firstLineChars="0"/>
              <w:jc w:val="left"/>
              <w:rPr>
                <w:rFonts w:hint="eastAsia"/>
              </w:rPr>
            </w:pPr>
            <w:r>
              <w:rPr>
                <w:rFonts w:hint="eastAsia"/>
              </w:rPr>
              <w:t>病案首页损伤、中毒的外部因素完整性质检</w:t>
            </w:r>
          </w:p>
          <w:p>
            <w:pPr>
              <w:numPr>
                <w:ilvl w:val="0"/>
                <w:numId w:val="3"/>
              </w:numPr>
              <w:spacing w:line="400" w:lineRule="exact"/>
              <w:ind w:hanging="2" w:firstLineChars="0"/>
              <w:jc w:val="left"/>
              <w:rPr>
                <w:rFonts w:hint="eastAsia"/>
              </w:rPr>
            </w:pPr>
            <w:r>
              <w:rPr>
                <w:rFonts w:hint="eastAsia"/>
              </w:rPr>
              <w:t>病案首页是否有31天内再住院计划完整性质检</w:t>
            </w:r>
          </w:p>
          <w:p>
            <w:pPr>
              <w:numPr>
                <w:ilvl w:val="0"/>
                <w:numId w:val="3"/>
              </w:numPr>
              <w:spacing w:line="400" w:lineRule="exact"/>
              <w:ind w:hanging="2" w:firstLineChars="0"/>
              <w:jc w:val="left"/>
              <w:rPr>
                <w:rFonts w:hint="eastAsia"/>
              </w:rPr>
            </w:pPr>
            <w:r>
              <w:rPr>
                <w:rFonts w:hint="eastAsia"/>
              </w:rPr>
              <w:t>病案首页颅脑损伤患者昏迷时间完整性质检</w:t>
            </w:r>
          </w:p>
          <w:p>
            <w:pPr>
              <w:numPr>
                <w:ilvl w:val="0"/>
                <w:numId w:val="3"/>
              </w:numPr>
              <w:spacing w:line="400" w:lineRule="exact"/>
              <w:ind w:hanging="2" w:firstLineChars="0"/>
              <w:jc w:val="left"/>
              <w:rPr>
                <w:rFonts w:hint="eastAsia"/>
              </w:rPr>
            </w:pPr>
            <w:r>
              <w:rPr>
                <w:rFonts w:hint="eastAsia"/>
              </w:rPr>
              <w:t>病案首页离院方式完整性质检</w:t>
            </w:r>
          </w:p>
          <w:p>
            <w:pPr>
              <w:numPr>
                <w:ilvl w:val="0"/>
                <w:numId w:val="3"/>
              </w:numPr>
              <w:spacing w:line="400" w:lineRule="exact"/>
              <w:ind w:hanging="2" w:firstLineChars="0"/>
              <w:jc w:val="left"/>
              <w:rPr>
                <w:rFonts w:hint="eastAsia"/>
              </w:rPr>
            </w:pPr>
            <w:r>
              <w:rPr>
                <w:rFonts w:hint="eastAsia"/>
              </w:rPr>
              <w:t>病案首页过敏史完整性质检</w:t>
            </w:r>
          </w:p>
          <w:p>
            <w:pPr>
              <w:numPr>
                <w:ilvl w:val="0"/>
                <w:numId w:val="3"/>
              </w:numPr>
              <w:spacing w:line="400" w:lineRule="exact"/>
              <w:ind w:hanging="2" w:firstLineChars="0"/>
              <w:jc w:val="left"/>
              <w:rPr>
                <w:rFonts w:hint="eastAsia"/>
              </w:rPr>
            </w:pPr>
            <w:r>
              <w:rPr>
                <w:rFonts w:hint="eastAsia"/>
              </w:rPr>
              <w:t>病案首页完成及时性质检</w:t>
            </w:r>
          </w:p>
          <w:p>
            <w:pPr>
              <w:numPr>
                <w:ilvl w:val="0"/>
                <w:numId w:val="3"/>
              </w:numPr>
              <w:spacing w:line="400" w:lineRule="exact"/>
              <w:ind w:hanging="2" w:firstLineChars="0"/>
              <w:jc w:val="left"/>
              <w:rPr>
                <w:rFonts w:hint="eastAsia"/>
              </w:rPr>
            </w:pPr>
            <w:r>
              <w:rPr>
                <w:rFonts w:hint="eastAsia"/>
              </w:rPr>
              <w:t>病案首页入院时间完整性质检</w:t>
            </w:r>
          </w:p>
          <w:p>
            <w:pPr>
              <w:numPr>
                <w:ilvl w:val="0"/>
                <w:numId w:val="3"/>
              </w:numPr>
              <w:spacing w:line="400" w:lineRule="exact"/>
              <w:ind w:hanging="2" w:firstLineChars="0"/>
              <w:jc w:val="left"/>
              <w:rPr>
                <w:rFonts w:hint="eastAsia"/>
              </w:rPr>
            </w:pPr>
            <w:r>
              <w:rPr>
                <w:rFonts w:hint="eastAsia"/>
              </w:rPr>
              <w:t>病案首页入院途径完整性质检</w:t>
            </w:r>
          </w:p>
          <w:p>
            <w:pPr>
              <w:numPr>
                <w:ilvl w:val="0"/>
                <w:numId w:val="3"/>
              </w:numPr>
              <w:spacing w:line="400" w:lineRule="exact"/>
              <w:ind w:hanging="2" w:firstLineChars="0"/>
              <w:jc w:val="left"/>
              <w:rPr>
                <w:rFonts w:hint="eastAsia"/>
              </w:rPr>
            </w:pPr>
            <w:r>
              <w:rPr>
                <w:rFonts w:hint="eastAsia"/>
              </w:rPr>
              <w:t>病案首页入院科室完整性质检</w:t>
            </w:r>
          </w:p>
          <w:p>
            <w:pPr>
              <w:numPr>
                <w:ilvl w:val="0"/>
                <w:numId w:val="3"/>
              </w:numPr>
              <w:spacing w:line="400" w:lineRule="exact"/>
              <w:ind w:hanging="2" w:firstLineChars="0"/>
              <w:jc w:val="left"/>
              <w:rPr>
                <w:rFonts w:hint="eastAsia"/>
              </w:rPr>
            </w:pPr>
            <w:r>
              <w:rPr>
                <w:rFonts w:hint="eastAsia"/>
              </w:rPr>
              <w:t>病案首页手术及操作日期完整性质检</w:t>
            </w:r>
          </w:p>
          <w:p>
            <w:pPr>
              <w:numPr>
                <w:ilvl w:val="0"/>
                <w:numId w:val="3"/>
              </w:numPr>
              <w:spacing w:line="400" w:lineRule="exact"/>
              <w:ind w:hanging="2" w:firstLineChars="0"/>
              <w:jc w:val="left"/>
              <w:rPr>
                <w:rFonts w:hint="eastAsia"/>
              </w:rPr>
            </w:pPr>
            <w:r>
              <w:rPr>
                <w:rFonts w:hint="eastAsia"/>
              </w:rPr>
              <w:t>病案首页转科情况完整性质检</w:t>
            </w:r>
          </w:p>
          <w:p>
            <w:pPr>
              <w:numPr>
                <w:ilvl w:val="0"/>
                <w:numId w:val="3"/>
              </w:numPr>
              <w:spacing w:line="400" w:lineRule="exact"/>
              <w:ind w:hanging="2" w:firstLineChars="0"/>
              <w:jc w:val="left"/>
              <w:rPr>
                <w:rFonts w:hint="eastAsia"/>
              </w:rPr>
            </w:pPr>
            <w:r>
              <w:rPr>
                <w:rFonts w:hint="eastAsia"/>
              </w:rPr>
              <w:t>病案首页出院时间完整性质检</w:t>
            </w:r>
          </w:p>
          <w:p>
            <w:pPr>
              <w:numPr>
                <w:ilvl w:val="0"/>
                <w:numId w:val="3"/>
              </w:numPr>
              <w:spacing w:line="400" w:lineRule="exact"/>
              <w:ind w:hanging="2" w:firstLineChars="0"/>
              <w:jc w:val="left"/>
              <w:rPr>
                <w:rFonts w:hint="eastAsia"/>
              </w:rPr>
            </w:pPr>
            <w:r>
              <w:rPr>
                <w:rFonts w:hint="eastAsia"/>
              </w:rPr>
              <w:t>病案首页出院科室完整性质检</w:t>
            </w:r>
          </w:p>
          <w:p>
            <w:pPr>
              <w:numPr>
                <w:ilvl w:val="0"/>
                <w:numId w:val="3"/>
              </w:numPr>
              <w:spacing w:line="400" w:lineRule="exact"/>
              <w:ind w:hanging="2" w:firstLineChars="0"/>
              <w:jc w:val="left"/>
              <w:rPr>
                <w:rFonts w:hint="eastAsia"/>
              </w:rPr>
            </w:pPr>
            <w:r>
              <w:rPr>
                <w:rFonts w:hint="eastAsia"/>
              </w:rPr>
              <w:t>病案首页医疗付费方式完整性质检</w:t>
            </w:r>
          </w:p>
          <w:p>
            <w:pPr>
              <w:numPr>
                <w:ilvl w:val="0"/>
                <w:numId w:val="3"/>
              </w:numPr>
              <w:spacing w:line="400" w:lineRule="exact"/>
              <w:ind w:hanging="2" w:firstLineChars="0"/>
              <w:jc w:val="left"/>
              <w:rPr>
                <w:rFonts w:hint="eastAsia"/>
              </w:rPr>
            </w:pPr>
            <w:r>
              <w:rPr>
                <w:rFonts w:hint="eastAsia"/>
              </w:rPr>
              <w:t>病案首页重症监护信息完整性质检</w:t>
            </w:r>
          </w:p>
          <w:p>
            <w:pPr>
              <w:numPr>
                <w:ilvl w:val="0"/>
                <w:numId w:val="3"/>
              </w:numPr>
              <w:spacing w:line="400" w:lineRule="exact"/>
              <w:ind w:hanging="2" w:firstLineChars="0"/>
              <w:jc w:val="left"/>
              <w:rPr>
                <w:rFonts w:hint="eastAsia"/>
              </w:rPr>
            </w:pPr>
            <w:r>
              <w:rPr>
                <w:rFonts w:hint="eastAsia"/>
              </w:rPr>
              <w:t>病案首页呼吸机使用时间完整性质检</w:t>
            </w:r>
          </w:p>
          <w:p>
            <w:pPr>
              <w:numPr>
                <w:ilvl w:val="0"/>
                <w:numId w:val="3"/>
              </w:numPr>
              <w:spacing w:line="400" w:lineRule="exact"/>
              <w:ind w:hanging="2" w:firstLineChars="0"/>
              <w:jc w:val="left"/>
              <w:rPr>
                <w:rFonts w:hint="eastAsia" w:cs="宋体"/>
                <w:color w:val="000000"/>
                <w:kern w:val="0"/>
              </w:rPr>
            </w:pPr>
            <w:r>
              <w:rPr>
                <w:rFonts w:hint="eastAsia" w:cs="宋体"/>
                <w:color w:val="000000"/>
              </w:rPr>
              <w:t>病案首页新生儿入院体重完整性质检</w:t>
            </w:r>
          </w:p>
          <w:p>
            <w:pPr>
              <w:numPr>
                <w:ilvl w:val="0"/>
                <w:numId w:val="3"/>
              </w:numPr>
              <w:spacing w:line="400" w:lineRule="exact"/>
              <w:ind w:hanging="2" w:firstLineChars="0"/>
              <w:jc w:val="left"/>
              <w:rPr>
                <w:rFonts w:cs="宋体"/>
                <w:color w:val="000000"/>
              </w:rPr>
            </w:pPr>
            <w:r>
              <w:rPr>
                <w:rFonts w:hint="eastAsia" w:cs="宋体"/>
                <w:color w:val="000000"/>
              </w:rPr>
              <w:t>病案首页新生儿出生体重完整性质检</w:t>
            </w:r>
          </w:p>
          <w:p>
            <w:pPr>
              <w:numPr>
                <w:ilvl w:val="0"/>
                <w:numId w:val="3"/>
              </w:numPr>
              <w:spacing w:line="400" w:lineRule="exact"/>
              <w:ind w:hanging="2" w:firstLineChars="0"/>
              <w:jc w:val="left"/>
              <w:rPr>
                <w:rFonts w:hint="eastAsia" w:cs="宋体"/>
                <w:color w:val="EE0000"/>
                <w:highlight w:val="yellow"/>
              </w:rPr>
            </w:pPr>
            <w:r>
              <w:rPr>
                <w:rFonts w:hint="eastAsia" w:cs="宋体"/>
                <w:color w:val="EE0000"/>
                <w:highlight w:val="yellow"/>
              </w:rPr>
              <w:t>病案首页入院诊断完整性质检</w:t>
            </w:r>
          </w:p>
          <w:p>
            <w:pPr>
              <w:numPr>
                <w:ilvl w:val="0"/>
                <w:numId w:val="3"/>
              </w:numPr>
              <w:spacing w:line="400" w:lineRule="exact"/>
              <w:ind w:hanging="2" w:firstLineChars="0"/>
              <w:jc w:val="left"/>
              <w:rPr>
                <w:rFonts w:hint="eastAsia" w:cs="宋体"/>
                <w:color w:val="EE0000"/>
                <w:highlight w:val="yellow"/>
              </w:rPr>
            </w:pPr>
            <w:r>
              <w:rPr>
                <w:rFonts w:hint="eastAsia" w:cs="宋体"/>
                <w:color w:val="EE0000"/>
                <w:highlight w:val="yellow"/>
              </w:rPr>
              <w:t>病理号及病理诊断完整性质检</w:t>
            </w:r>
          </w:p>
          <w:p>
            <w:pPr>
              <w:numPr>
                <w:ilvl w:val="0"/>
                <w:numId w:val="3"/>
              </w:numPr>
              <w:spacing w:line="400" w:lineRule="exact"/>
              <w:ind w:hanging="2" w:firstLineChars="0"/>
              <w:jc w:val="left"/>
              <w:rPr>
                <w:rFonts w:hint="eastAsia" w:cs="宋体"/>
                <w:color w:val="EE0000"/>
                <w:highlight w:val="yellow"/>
              </w:rPr>
            </w:pPr>
            <w:r>
              <w:rPr>
                <w:rFonts w:hint="eastAsia" w:cs="宋体"/>
                <w:color w:val="EE0000"/>
                <w:highlight w:val="yellow"/>
              </w:rPr>
              <w:t>手术操作相关信息完整性质检(如切口愈合等级、麻醉方式、麻醉医师等)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highlight w:val="yellow"/>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首页一致性质控点</w:t>
            </w:r>
          </w:p>
        </w:tc>
        <w:tc>
          <w:tcPr>
            <w:tcW w:w="5855" w:type="dxa"/>
            <w:vAlign w:val="center"/>
          </w:tcPr>
          <w:p>
            <w:pPr>
              <w:spacing w:line="400" w:lineRule="exact"/>
              <w:jc w:val="left"/>
              <w:rPr>
                <w:rFonts w:hint="eastAsia" w:cs="宋体"/>
                <w:color w:val="000000"/>
                <w:kern w:val="0"/>
              </w:rPr>
            </w:pPr>
            <w:r>
              <w:rPr>
                <w:rFonts w:hint="eastAsia" w:cs="宋体"/>
                <w:color w:val="000000"/>
                <w:kern w:val="0"/>
              </w:rPr>
              <w:t>对首页信息的与其他文书或入院信息的一致性进行校验：</w:t>
            </w:r>
          </w:p>
          <w:p>
            <w:pPr>
              <w:numPr>
                <w:ilvl w:val="0"/>
                <w:numId w:val="4"/>
              </w:numPr>
              <w:spacing w:line="400" w:lineRule="exact"/>
              <w:ind w:hanging="2" w:firstLineChars="0"/>
              <w:jc w:val="left"/>
              <w:rPr>
                <w:rFonts w:hint="eastAsia"/>
              </w:rPr>
            </w:pPr>
            <w:r>
              <w:rPr>
                <w:rFonts w:hint="eastAsia" w:cs="宋体"/>
                <w:color w:val="000000"/>
              </w:rPr>
              <w:t>病案首页与血型化验的血型一致性质检</w:t>
            </w:r>
          </w:p>
          <w:p>
            <w:pPr>
              <w:numPr>
                <w:ilvl w:val="0"/>
                <w:numId w:val="4"/>
              </w:numPr>
              <w:spacing w:line="400" w:lineRule="exact"/>
              <w:ind w:hanging="2" w:firstLineChars="0"/>
              <w:jc w:val="left"/>
              <w:rPr>
                <w:rFonts w:hint="eastAsia" w:cs="宋体"/>
                <w:color w:val="000000"/>
              </w:rPr>
            </w:pPr>
            <w:r>
              <w:rPr>
                <w:rFonts w:hint="eastAsia" w:cs="宋体"/>
                <w:color w:val="000000"/>
              </w:rPr>
              <w:t>病案首页与入院信息的联系人姓名一致性质检</w:t>
            </w:r>
          </w:p>
          <w:p>
            <w:pPr>
              <w:numPr>
                <w:ilvl w:val="0"/>
                <w:numId w:val="4"/>
              </w:numPr>
              <w:spacing w:line="400" w:lineRule="exact"/>
              <w:ind w:hanging="2" w:firstLineChars="0"/>
              <w:jc w:val="left"/>
              <w:rPr>
                <w:rFonts w:hint="eastAsia" w:cs="宋体"/>
                <w:color w:val="000000"/>
              </w:rPr>
            </w:pPr>
            <w:r>
              <w:rPr>
                <w:rFonts w:hint="eastAsia" w:cs="宋体"/>
                <w:color w:val="000000"/>
              </w:rPr>
              <w:t>病案首页与入院信息的联系人地址一致性质检</w:t>
            </w:r>
          </w:p>
          <w:p>
            <w:pPr>
              <w:numPr>
                <w:ilvl w:val="0"/>
                <w:numId w:val="4"/>
              </w:numPr>
              <w:spacing w:line="400" w:lineRule="exact"/>
              <w:ind w:hanging="2" w:firstLineChars="0"/>
              <w:jc w:val="left"/>
              <w:rPr>
                <w:rFonts w:hint="eastAsia" w:cs="宋体"/>
                <w:color w:val="000000"/>
              </w:rPr>
            </w:pPr>
            <w:r>
              <w:rPr>
                <w:rFonts w:hint="eastAsia" w:cs="宋体"/>
                <w:color w:val="000000"/>
              </w:rPr>
              <w:t>病案首页与入院信息的联系人电话号码一致性质检</w:t>
            </w:r>
          </w:p>
          <w:p>
            <w:pPr>
              <w:numPr>
                <w:ilvl w:val="0"/>
                <w:numId w:val="4"/>
              </w:numPr>
              <w:spacing w:line="400" w:lineRule="exact"/>
              <w:ind w:hanging="2" w:firstLineChars="0"/>
              <w:jc w:val="left"/>
              <w:rPr>
                <w:rFonts w:hint="eastAsia"/>
              </w:rPr>
            </w:pPr>
            <w:r>
              <w:rPr>
                <w:rFonts w:hint="eastAsia" w:cs="宋体"/>
                <w:color w:val="000000"/>
              </w:rPr>
              <w:t>病案首页与入院信息的籍贯一致性质检</w:t>
            </w:r>
          </w:p>
          <w:p>
            <w:pPr>
              <w:numPr>
                <w:ilvl w:val="0"/>
                <w:numId w:val="4"/>
              </w:numPr>
              <w:spacing w:line="400" w:lineRule="exact"/>
              <w:ind w:hanging="2" w:firstLineChars="0"/>
              <w:jc w:val="left"/>
              <w:rPr>
                <w:rFonts w:hint="eastAsia"/>
              </w:rPr>
            </w:pPr>
            <w:r>
              <w:rPr>
                <w:rFonts w:hint="eastAsia" w:cs="宋体"/>
                <w:color w:val="000000"/>
              </w:rPr>
              <w:t>病案首页与入院信息的民族一致性质检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highlight w:val="yellow"/>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首页合规性质控点</w:t>
            </w:r>
          </w:p>
        </w:tc>
        <w:tc>
          <w:tcPr>
            <w:tcW w:w="5855" w:type="dxa"/>
            <w:vAlign w:val="center"/>
          </w:tcPr>
          <w:p>
            <w:pPr>
              <w:numPr>
                <w:ilvl w:val="0"/>
                <w:numId w:val="5"/>
              </w:numPr>
              <w:spacing w:line="400" w:lineRule="exact"/>
              <w:ind w:hanging="2" w:firstLineChars="0"/>
              <w:jc w:val="left"/>
              <w:rPr>
                <w:rFonts w:hint="eastAsia" w:cs="宋体"/>
                <w:color w:val="000000"/>
              </w:rPr>
            </w:pPr>
            <w:r>
              <w:rPr>
                <w:rFonts w:hint="eastAsia" w:cs="宋体"/>
                <w:color w:val="000000"/>
              </w:rPr>
              <w:t>病案首页联系人关系合规性质检</w:t>
            </w:r>
          </w:p>
          <w:p>
            <w:pPr>
              <w:numPr>
                <w:ilvl w:val="0"/>
                <w:numId w:val="5"/>
              </w:numPr>
              <w:spacing w:line="400" w:lineRule="exact"/>
              <w:ind w:hanging="2" w:firstLineChars="0"/>
              <w:jc w:val="left"/>
              <w:rPr>
                <w:rFonts w:hint="eastAsia" w:cs="宋体"/>
                <w:color w:val="000000"/>
              </w:rPr>
            </w:pPr>
            <w:r>
              <w:rPr>
                <w:rFonts w:hint="eastAsia" w:cs="宋体"/>
                <w:color w:val="000000"/>
              </w:rPr>
              <w:t>病案首页死亡患者尸检合规性质检</w:t>
            </w:r>
          </w:p>
          <w:p>
            <w:pPr>
              <w:numPr>
                <w:ilvl w:val="0"/>
                <w:numId w:val="5"/>
              </w:numPr>
              <w:spacing w:line="400" w:lineRule="exact"/>
              <w:ind w:hanging="2" w:firstLineChars="0"/>
              <w:jc w:val="left"/>
              <w:rPr>
                <w:rFonts w:hint="eastAsia" w:cs="宋体"/>
                <w:color w:val="000000"/>
              </w:rPr>
            </w:pPr>
            <w:r>
              <w:rPr>
                <w:rFonts w:hint="eastAsia" w:cs="宋体"/>
                <w:color w:val="000000"/>
              </w:rPr>
              <w:t>病案首页新生儿出生体重合规性质检</w:t>
            </w:r>
          </w:p>
          <w:p>
            <w:pPr>
              <w:numPr>
                <w:ilvl w:val="0"/>
                <w:numId w:val="5"/>
              </w:numPr>
              <w:spacing w:line="400" w:lineRule="exact"/>
              <w:ind w:hanging="2" w:firstLineChars="0"/>
              <w:jc w:val="left"/>
              <w:rPr>
                <w:rFonts w:hint="eastAsia" w:cs="宋体"/>
                <w:color w:val="000000"/>
              </w:rPr>
            </w:pPr>
            <w:r>
              <w:rPr>
                <w:rFonts w:hint="eastAsia" w:cs="宋体"/>
                <w:color w:val="000000"/>
              </w:rPr>
              <w:t>病案首页住院天数合规性质检</w:t>
            </w:r>
          </w:p>
          <w:p>
            <w:pPr>
              <w:numPr>
                <w:ilvl w:val="0"/>
                <w:numId w:val="5"/>
              </w:numPr>
              <w:spacing w:line="400" w:lineRule="exact"/>
              <w:ind w:hanging="2" w:firstLineChars="0"/>
              <w:jc w:val="left"/>
              <w:rPr>
                <w:rFonts w:hint="eastAsia" w:cs="宋体"/>
                <w:color w:val="000000"/>
              </w:rPr>
            </w:pPr>
            <w:r>
              <w:rPr>
                <w:rFonts w:hint="eastAsia" w:cs="宋体"/>
                <w:color w:val="000000"/>
              </w:rPr>
              <w:t>病案首页新生儿入院体重合规性质检</w:t>
            </w:r>
          </w:p>
          <w:p>
            <w:pPr>
              <w:numPr>
                <w:ilvl w:val="0"/>
                <w:numId w:val="5"/>
              </w:numPr>
              <w:spacing w:line="400" w:lineRule="exact"/>
              <w:ind w:hanging="2" w:firstLineChars="0"/>
              <w:jc w:val="left"/>
              <w:rPr>
                <w:rFonts w:hint="eastAsia" w:cs="宋体"/>
                <w:color w:val="000000"/>
                <w:kern w:val="0"/>
              </w:rPr>
            </w:pPr>
            <w:r>
              <w:rPr>
                <w:rFonts w:hint="eastAsia"/>
              </w:rPr>
              <w:t>死亡病例病案首页离院方式合规性质检</w:t>
            </w:r>
          </w:p>
          <w:p>
            <w:pPr>
              <w:numPr>
                <w:ilvl w:val="0"/>
                <w:numId w:val="5"/>
              </w:numPr>
              <w:spacing w:line="400" w:lineRule="exact"/>
              <w:ind w:hanging="2" w:firstLineChars="0"/>
              <w:jc w:val="left"/>
              <w:rPr>
                <w:rFonts w:hint="eastAsia" w:cs="宋体"/>
                <w:color w:val="000000"/>
                <w:kern w:val="0"/>
              </w:rPr>
            </w:pPr>
            <w:r>
              <w:rPr>
                <w:rFonts w:hint="eastAsia"/>
              </w:rPr>
              <w:t>死亡患者病案首页是否出院31天再住院计划合规性质检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highlight w:val="yellow"/>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诊断合规性质控点</w:t>
            </w:r>
          </w:p>
        </w:tc>
        <w:tc>
          <w:tcPr>
            <w:tcW w:w="5855" w:type="dxa"/>
            <w:vAlign w:val="center"/>
          </w:tcPr>
          <w:p>
            <w:pPr>
              <w:numPr>
                <w:ilvl w:val="0"/>
                <w:numId w:val="6"/>
              </w:numPr>
              <w:spacing w:line="400" w:lineRule="exact"/>
              <w:ind w:hanging="2" w:firstLineChars="0"/>
              <w:jc w:val="left"/>
              <w:rPr>
                <w:rFonts w:hint="eastAsia"/>
              </w:rPr>
            </w:pPr>
            <w:r>
              <w:rPr>
                <w:rFonts w:hint="eastAsia"/>
              </w:rPr>
              <w:t>病案首页贫血未明确分度</w:t>
            </w:r>
          </w:p>
          <w:p>
            <w:pPr>
              <w:numPr>
                <w:ilvl w:val="0"/>
                <w:numId w:val="6"/>
              </w:numPr>
              <w:spacing w:line="400" w:lineRule="exact"/>
              <w:ind w:hanging="2" w:firstLineChars="0"/>
              <w:jc w:val="left"/>
              <w:rPr>
                <w:rFonts w:hint="eastAsia"/>
              </w:rPr>
            </w:pPr>
            <w:r>
              <w:rPr>
                <w:rFonts w:hint="eastAsia"/>
              </w:rPr>
              <w:t>病案首页电解质紊乱诊断不明确</w:t>
            </w:r>
          </w:p>
          <w:p>
            <w:pPr>
              <w:numPr>
                <w:ilvl w:val="0"/>
                <w:numId w:val="6"/>
              </w:numPr>
              <w:spacing w:line="400" w:lineRule="exact"/>
              <w:ind w:hanging="2" w:firstLineChars="0"/>
              <w:jc w:val="left"/>
              <w:rPr>
                <w:rFonts w:hint="eastAsia"/>
              </w:rPr>
            </w:pPr>
            <w:r>
              <w:rPr>
                <w:rFonts w:hint="eastAsia"/>
              </w:rPr>
              <w:t>病案首页心律失常诊断未明确分类</w:t>
            </w:r>
          </w:p>
          <w:p>
            <w:pPr>
              <w:numPr>
                <w:ilvl w:val="0"/>
                <w:numId w:val="6"/>
              </w:numPr>
              <w:spacing w:line="400" w:lineRule="exact"/>
              <w:ind w:hanging="2" w:firstLineChars="0"/>
              <w:jc w:val="left"/>
              <w:rPr>
                <w:rFonts w:hint="eastAsia"/>
              </w:rPr>
            </w:pPr>
            <w:r>
              <w:rPr>
                <w:rFonts w:hint="eastAsia"/>
              </w:rPr>
              <w:t>病案首页糖尿病诊断未明确分型</w:t>
            </w:r>
          </w:p>
          <w:p>
            <w:pPr>
              <w:numPr>
                <w:ilvl w:val="0"/>
                <w:numId w:val="6"/>
              </w:numPr>
              <w:spacing w:line="400" w:lineRule="exact"/>
              <w:ind w:hanging="2" w:firstLineChars="0"/>
              <w:jc w:val="left"/>
              <w:rPr>
                <w:rFonts w:hint="eastAsia" w:cs="宋体"/>
                <w:color w:val="000000"/>
                <w:kern w:val="0"/>
              </w:rPr>
            </w:pPr>
            <w:r>
              <w:rPr>
                <w:rFonts w:hint="eastAsia"/>
              </w:rPr>
              <w:t>病案首页呼吸衰竭诊断未明确分型、性质</w:t>
            </w:r>
          </w:p>
          <w:p>
            <w:pPr>
              <w:numPr>
                <w:ilvl w:val="0"/>
                <w:numId w:val="6"/>
              </w:numPr>
              <w:spacing w:line="400" w:lineRule="exact"/>
              <w:ind w:hanging="2" w:firstLineChars="0"/>
              <w:jc w:val="left"/>
              <w:rPr>
                <w:rFonts w:hint="eastAsia" w:cs="宋体"/>
                <w:color w:val="000000"/>
                <w:kern w:val="0"/>
              </w:rPr>
            </w:pPr>
            <w:r>
              <w:rPr>
                <w:rFonts w:hint="eastAsia"/>
              </w:rPr>
              <w:t>病案首页高血压诊断未明确分类、分层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restart"/>
            <w:vAlign w:val="center"/>
          </w:tcPr>
          <w:p>
            <w:pPr>
              <w:spacing w:line="400" w:lineRule="exact"/>
              <w:ind w:firstLine="0" w:firstLineChars="0"/>
              <w:jc w:val="center"/>
              <w:rPr>
                <w:rFonts w:hint="eastAsia" w:cs="宋体"/>
                <w:color w:val="000000"/>
                <w:kern w:val="0"/>
              </w:rPr>
            </w:pPr>
            <w:r>
              <w:rPr>
                <w:rFonts w:hint="eastAsia" w:cs="宋体"/>
                <w:color w:val="000000"/>
                <w:kern w:val="0"/>
              </w:rPr>
              <w:t>内涵质控点</w:t>
            </w: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首页合规性质控点</w:t>
            </w:r>
          </w:p>
        </w:tc>
        <w:tc>
          <w:tcPr>
            <w:tcW w:w="5855" w:type="dxa"/>
            <w:vAlign w:val="center"/>
          </w:tcPr>
          <w:p>
            <w:pPr>
              <w:pStyle w:val="16"/>
              <w:spacing w:after="0" w:line="400" w:lineRule="exact"/>
              <w:ind w:hanging="2"/>
              <w:rPr>
                <w:rFonts w:hint="eastAsia" w:ascii="宋体" w:hAnsi="宋体" w:cs="宋体"/>
                <w:sz w:val="24"/>
              </w:rPr>
            </w:pPr>
            <w:r>
              <w:rPr>
                <w:rFonts w:hint="eastAsia" w:ascii="宋体" w:hAnsi="宋体" w:cs="宋体"/>
                <w:sz w:val="24"/>
              </w:rPr>
              <w:t>对上报数据的合规性进行质量控制，如：</w:t>
            </w:r>
          </w:p>
          <w:p>
            <w:pPr>
              <w:pStyle w:val="16"/>
              <w:numPr>
                <w:ilvl w:val="0"/>
                <w:numId w:val="7"/>
              </w:numPr>
              <w:spacing w:after="0" w:line="400" w:lineRule="exact"/>
              <w:ind w:hanging="2"/>
              <w:jc w:val="left"/>
              <w:rPr>
                <w:rFonts w:hint="eastAsia" w:ascii="宋体" w:hAnsi="宋体" w:cs="宋体"/>
                <w:sz w:val="24"/>
              </w:rPr>
            </w:pPr>
            <w:r>
              <w:rPr>
                <w:rFonts w:hint="eastAsia" w:ascii="宋体" w:hAnsi="宋体" w:cs="宋体"/>
                <w:sz w:val="24"/>
              </w:rPr>
              <w:t>▲当首页出院诊断ICD10编码中含有S06（颅内损伤）时，入院前颅脑损伤患者昏迷时间不能为空，不需要填写的应为“-”</w:t>
            </w:r>
          </w:p>
          <w:p>
            <w:pPr>
              <w:pStyle w:val="16"/>
              <w:numPr>
                <w:ilvl w:val="0"/>
                <w:numId w:val="7"/>
              </w:numPr>
              <w:spacing w:after="0" w:line="400" w:lineRule="exact"/>
              <w:ind w:hanging="2"/>
              <w:jc w:val="left"/>
              <w:rPr>
                <w:rFonts w:hint="eastAsia" w:ascii="宋体" w:hAnsi="宋体" w:cs="宋体"/>
                <w:sz w:val="24"/>
              </w:rPr>
            </w:pPr>
            <w:r>
              <w:rPr>
                <w:rFonts w:hint="eastAsia" w:ascii="宋体" w:hAnsi="宋体" w:cs="宋体"/>
                <w:sz w:val="24"/>
              </w:rPr>
              <w:t>当首页出院诊断编码中含有S06（颅内损伤）时，入院后颅脑损伤患者昏迷时间不能为空，不需要填写的应为“-”</w:t>
            </w:r>
          </w:p>
          <w:p>
            <w:pPr>
              <w:pStyle w:val="16"/>
              <w:numPr>
                <w:ilvl w:val="0"/>
                <w:numId w:val="7"/>
              </w:numPr>
              <w:spacing w:after="0" w:line="400" w:lineRule="exact"/>
              <w:ind w:hanging="2"/>
              <w:jc w:val="left"/>
              <w:rPr>
                <w:rFonts w:hint="eastAsia" w:ascii="宋体" w:hAnsi="宋体" w:cs="宋体"/>
                <w:sz w:val="24"/>
              </w:rPr>
            </w:pPr>
            <w:r>
              <w:rPr>
                <w:rFonts w:hint="eastAsia" w:ascii="宋体" w:hAnsi="宋体" w:cs="宋体"/>
                <w:sz w:val="24"/>
              </w:rPr>
              <w:t>病案首页现住址邮编合规性质检</w:t>
            </w:r>
          </w:p>
          <w:p>
            <w:pPr>
              <w:pStyle w:val="16"/>
              <w:numPr>
                <w:ilvl w:val="0"/>
                <w:numId w:val="7"/>
              </w:numPr>
              <w:spacing w:after="0" w:line="400" w:lineRule="exact"/>
              <w:ind w:hanging="2"/>
              <w:jc w:val="left"/>
              <w:rPr>
                <w:rFonts w:hint="eastAsia" w:ascii="宋体" w:hAnsi="宋体" w:cs="宋体"/>
                <w:sz w:val="24"/>
              </w:rPr>
            </w:pPr>
            <w:r>
              <w:rPr>
                <w:rFonts w:hint="eastAsia" w:ascii="宋体" w:hAnsi="宋体" w:cs="宋体"/>
                <w:sz w:val="24"/>
              </w:rPr>
              <w:t>病案首页住址电话合规性质检</w:t>
            </w:r>
          </w:p>
          <w:p>
            <w:pPr>
              <w:pStyle w:val="16"/>
              <w:numPr>
                <w:ilvl w:val="0"/>
                <w:numId w:val="7"/>
              </w:numPr>
              <w:spacing w:after="0" w:line="400" w:lineRule="exact"/>
              <w:ind w:hanging="2"/>
              <w:jc w:val="left"/>
              <w:rPr>
                <w:rFonts w:hint="eastAsia" w:ascii="宋体" w:hAnsi="宋体" w:cs="宋体"/>
                <w:sz w:val="24"/>
              </w:rPr>
            </w:pPr>
            <w:r>
              <w:rPr>
                <w:rFonts w:hint="eastAsia" w:ascii="宋体" w:hAnsi="宋体" w:cs="宋体"/>
                <w:sz w:val="24"/>
              </w:rPr>
              <w:t>病案首页身份证号合规性质检</w:t>
            </w:r>
          </w:p>
          <w:p>
            <w:pPr>
              <w:pStyle w:val="16"/>
              <w:numPr>
                <w:ilvl w:val="0"/>
                <w:numId w:val="7"/>
              </w:numPr>
              <w:spacing w:after="0" w:line="400" w:lineRule="exact"/>
              <w:ind w:hanging="2"/>
              <w:jc w:val="left"/>
              <w:rPr>
                <w:rFonts w:hint="eastAsia" w:ascii="宋体" w:hAnsi="宋体" w:cs="宋体"/>
                <w:sz w:val="24"/>
              </w:rPr>
            </w:pPr>
            <w:r>
              <w:rPr>
                <w:rFonts w:hint="eastAsia" w:ascii="宋体" w:hAnsi="宋体" w:cs="宋体"/>
                <w:sz w:val="24"/>
              </w:rPr>
              <w:t>病案首页联系人姓名合规性质检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highlight w:val="yellow"/>
              </w:rPr>
            </w:pPr>
          </w:p>
        </w:tc>
        <w:tc>
          <w:tcPr>
            <w:tcW w:w="1115" w:type="dxa"/>
            <w:vAlign w:val="center"/>
          </w:tcPr>
          <w:p>
            <w:pPr>
              <w:spacing w:line="400" w:lineRule="exact"/>
              <w:ind w:firstLine="0" w:firstLineChars="0"/>
              <w:rPr>
                <w:rFonts w:hint="eastAsia" w:cs="宋体"/>
                <w:color w:val="000000"/>
                <w:kern w:val="0"/>
              </w:rPr>
            </w:pPr>
            <w:r>
              <w:rPr>
                <w:rFonts w:hint="eastAsia" w:cs="宋体"/>
                <w:color w:val="000000"/>
                <w:kern w:val="0"/>
              </w:rPr>
              <w:t>首页一致性质控点</w:t>
            </w:r>
          </w:p>
        </w:tc>
        <w:tc>
          <w:tcPr>
            <w:tcW w:w="5855" w:type="dxa"/>
            <w:vAlign w:val="center"/>
          </w:tcPr>
          <w:p>
            <w:pPr>
              <w:pStyle w:val="16"/>
              <w:spacing w:after="0" w:line="400" w:lineRule="exact"/>
              <w:ind w:hanging="2"/>
              <w:rPr>
                <w:rFonts w:hint="eastAsia" w:ascii="宋体" w:hAnsi="宋体" w:cs="宋体"/>
                <w:sz w:val="24"/>
              </w:rPr>
            </w:pPr>
            <w:r>
              <w:rPr>
                <w:rFonts w:hint="eastAsia" w:ascii="宋体" w:hAnsi="宋体" w:cs="宋体"/>
                <w:sz w:val="24"/>
              </w:rPr>
              <w:t>对患者基本信息、诊断、手术等信息相互间矛盾的情况进行质量控制</w:t>
            </w:r>
          </w:p>
          <w:p>
            <w:pPr>
              <w:pStyle w:val="16"/>
              <w:numPr>
                <w:ilvl w:val="0"/>
                <w:numId w:val="8"/>
              </w:numPr>
              <w:spacing w:after="0" w:line="400" w:lineRule="exact"/>
              <w:ind w:hanging="2"/>
              <w:jc w:val="left"/>
              <w:rPr>
                <w:rFonts w:hint="eastAsia" w:ascii="宋体" w:hAnsi="宋体" w:cs="宋体"/>
                <w:sz w:val="24"/>
              </w:rPr>
            </w:pPr>
            <w:r>
              <w:rPr>
                <w:rFonts w:hint="eastAsia" w:ascii="宋体" w:hAnsi="宋体" w:cs="宋体"/>
                <w:sz w:val="24"/>
              </w:rPr>
              <w:t>▲病案首页入院病情为有的诊断与入院记录的入院诊断不一致（入院时病情不明确的情况除外）</w:t>
            </w:r>
          </w:p>
          <w:p>
            <w:pPr>
              <w:pStyle w:val="16"/>
              <w:numPr>
                <w:ilvl w:val="0"/>
                <w:numId w:val="8"/>
              </w:numPr>
              <w:spacing w:after="0" w:line="400" w:lineRule="exact"/>
              <w:ind w:hanging="2"/>
              <w:jc w:val="left"/>
              <w:rPr>
                <w:rFonts w:hint="eastAsia" w:ascii="宋体" w:hAnsi="宋体" w:cs="宋体"/>
                <w:sz w:val="24"/>
              </w:rPr>
            </w:pPr>
            <w:r>
              <w:rPr>
                <w:rFonts w:hint="eastAsia" w:ascii="宋体" w:hAnsi="宋体" w:cs="宋体"/>
                <w:sz w:val="24"/>
              </w:rPr>
              <w:t>病案首页与入院记录过敏药物记录内容不一致</w:t>
            </w:r>
          </w:p>
          <w:p>
            <w:pPr>
              <w:pStyle w:val="16"/>
              <w:numPr>
                <w:ilvl w:val="0"/>
                <w:numId w:val="8"/>
              </w:numPr>
              <w:spacing w:after="0" w:line="400" w:lineRule="exact"/>
              <w:ind w:hanging="2"/>
              <w:jc w:val="left"/>
              <w:rPr>
                <w:rFonts w:hint="eastAsia" w:ascii="宋体" w:hAnsi="宋体" w:cs="宋体"/>
                <w:sz w:val="24"/>
              </w:rPr>
            </w:pPr>
            <w:r>
              <w:rPr>
                <w:rFonts w:hint="eastAsia" w:ascii="宋体" w:hAnsi="宋体" w:cs="宋体"/>
                <w:sz w:val="24"/>
              </w:rPr>
              <w:t>出院记录与病案首页记录的出院日期不一致</w:t>
            </w:r>
          </w:p>
          <w:p>
            <w:pPr>
              <w:pStyle w:val="16"/>
              <w:numPr>
                <w:ilvl w:val="0"/>
                <w:numId w:val="8"/>
              </w:numPr>
              <w:spacing w:after="0" w:line="400" w:lineRule="exact"/>
              <w:ind w:hanging="2"/>
              <w:jc w:val="left"/>
              <w:rPr>
                <w:rFonts w:hint="eastAsia" w:ascii="宋体" w:hAnsi="宋体" w:cs="宋体"/>
                <w:sz w:val="24"/>
              </w:rPr>
            </w:pPr>
            <w:r>
              <w:rPr>
                <w:rFonts w:hint="eastAsia" w:ascii="宋体" w:hAnsi="宋体" w:cs="宋体"/>
                <w:sz w:val="24"/>
              </w:rPr>
              <w:t>病案首页与入院记录婚姻状态不一致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highlight w:val="yellow"/>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主诊断选择合理性质控点</w:t>
            </w:r>
          </w:p>
        </w:tc>
        <w:tc>
          <w:tcPr>
            <w:tcW w:w="5855" w:type="dxa"/>
            <w:vAlign w:val="center"/>
          </w:tcPr>
          <w:p>
            <w:pPr>
              <w:spacing w:line="400" w:lineRule="exact"/>
              <w:jc w:val="left"/>
              <w:rPr>
                <w:rFonts w:hint="eastAsia" w:cs="宋体"/>
                <w:color w:val="000000"/>
                <w:kern w:val="0"/>
              </w:rPr>
            </w:pPr>
            <w:r>
              <w:rPr>
                <w:rFonts w:hint="eastAsia" w:cs="宋体"/>
                <w:color w:val="000000"/>
                <w:kern w:val="0"/>
              </w:rPr>
              <w:t>对病案首页主诊断选择的合理性进行质量控制：</w:t>
            </w:r>
          </w:p>
          <w:p>
            <w:pPr>
              <w:numPr>
                <w:ilvl w:val="0"/>
                <w:numId w:val="9"/>
              </w:numPr>
              <w:spacing w:line="400" w:lineRule="exact"/>
              <w:ind w:hanging="2" w:firstLineChars="0"/>
              <w:jc w:val="left"/>
              <w:rPr>
                <w:rFonts w:hint="eastAsia"/>
              </w:rPr>
            </w:pPr>
            <w:r>
              <w:rPr>
                <w:rFonts w:hint="eastAsia" w:cs="宋体"/>
                <w:b/>
                <w:color w:val="000000"/>
              </w:rPr>
              <w:t>▲</w:t>
            </w:r>
            <w:r>
              <w:rPr>
                <w:rFonts w:hint="eastAsia" w:cs="宋体"/>
              </w:rPr>
              <w:t>产科主诊断应选择产科并发症或伴随疾病</w:t>
            </w:r>
          </w:p>
          <w:p>
            <w:pPr>
              <w:numPr>
                <w:ilvl w:val="0"/>
                <w:numId w:val="9"/>
              </w:numPr>
              <w:spacing w:line="400" w:lineRule="exact"/>
              <w:ind w:hanging="2" w:firstLineChars="0"/>
              <w:jc w:val="left"/>
              <w:rPr>
                <w:rFonts w:hint="eastAsia"/>
              </w:rPr>
            </w:pPr>
            <w:r>
              <w:rPr>
                <w:rFonts w:hint="eastAsia" w:cs="宋体"/>
              </w:rPr>
              <w:t>选择剖宫产原因作为主诊断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highlight w:val="yellow"/>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其他诊断遗漏质控点</w:t>
            </w:r>
          </w:p>
        </w:tc>
        <w:tc>
          <w:tcPr>
            <w:tcW w:w="5855" w:type="dxa"/>
            <w:vAlign w:val="center"/>
          </w:tcPr>
          <w:p>
            <w:pPr>
              <w:pStyle w:val="16"/>
              <w:spacing w:after="0" w:line="400" w:lineRule="exact"/>
              <w:ind w:hanging="2"/>
              <w:rPr>
                <w:rFonts w:hint="eastAsia" w:ascii="宋体" w:hAnsi="宋体" w:cs="宋体"/>
                <w:sz w:val="24"/>
              </w:rPr>
            </w:pPr>
            <w:r>
              <w:rPr>
                <w:rFonts w:hint="eastAsia" w:ascii="宋体" w:hAnsi="宋体" w:cs="宋体"/>
                <w:sz w:val="24"/>
              </w:rPr>
              <w:t>对病案首页其他诊断遗漏的情况进行质控提醒：</w:t>
            </w:r>
          </w:p>
          <w:p>
            <w:pPr>
              <w:pStyle w:val="16"/>
              <w:numPr>
                <w:ilvl w:val="0"/>
                <w:numId w:val="10"/>
              </w:numPr>
              <w:spacing w:after="0" w:line="400" w:lineRule="exact"/>
              <w:ind w:hanging="2"/>
              <w:jc w:val="left"/>
              <w:rPr>
                <w:rFonts w:hint="eastAsia" w:ascii="宋体" w:hAnsi="宋体" w:cs="宋体"/>
                <w:sz w:val="24"/>
              </w:rPr>
            </w:pPr>
            <w:r>
              <w:rPr>
                <w:rFonts w:hint="eastAsia" w:ascii="宋体" w:hAnsi="宋体" w:cs="宋体"/>
                <w:sz w:val="24"/>
              </w:rPr>
              <w:t>RIS报告中提示的疾病未加入病案首页诊断中</w:t>
            </w:r>
          </w:p>
          <w:p>
            <w:pPr>
              <w:pStyle w:val="16"/>
              <w:numPr>
                <w:ilvl w:val="0"/>
                <w:numId w:val="10"/>
              </w:numPr>
              <w:spacing w:after="0" w:line="400" w:lineRule="exact"/>
              <w:ind w:hanging="2"/>
              <w:jc w:val="left"/>
              <w:rPr>
                <w:rFonts w:hint="eastAsia" w:ascii="宋体" w:hAnsi="宋体" w:cs="宋体"/>
                <w:sz w:val="24"/>
              </w:rPr>
            </w:pPr>
            <w:r>
              <w:rPr>
                <w:rFonts w:hint="eastAsia" w:ascii="宋体" w:hAnsi="宋体" w:cs="宋体"/>
                <w:sz w:val="24"/>
              </w:rPr>
              <w:t>既往史在病案首页的遗漏</w:t>
            </w:r>
          </w:p>
          <w:p>
            <w:pPr>
              <w:pStyle w:val="16"/>
              <w:numPr>
                <w:ilvl w:val="0"/>
                <w:numId w:val="10"/>
              </w:numPr>
              <w:spacing w:after="0" w:line="400" w:lineRule="exact"/>
              <w:ind w:hanging="2"/>
              <w:jc w:val="left"/>
              <w:rPr>
                <w:rFonts w:hint="eastAsia" w:ascii="宋体" w:hAnsi="宋体" w:cs="宋体"/>
                <w:sz w:val="24"/>
              </w:rPr>
            </w:pPr>
            <w:r>
              <w:rPr>
                <w:rFonts w:hint="eastAsia" w:ascii="宋体" w:hAnsi="宋体" w:cs="宋体"/>
                <w:sz w:val="24"/>
              </w:rPr>
              <w:t>▲术后诊断在病案首页的遗漏</w:t>
            </w:r>
          </w:p>
          <w:p>
            <w:pPr>
              <w:pStyle w:val="16"/>
              <w:numPr>
                <w:ilvl w:val="0"/>
                <w:numId w:val="10"/>
              </w:numPr>
              <w:spacing w:after="0" w:line="400" w:lineRule="exact"/>
              <w:ind w:hanging="2"/>
              <w:jc w:val="left"/>
              <w:rPr>
                <w:rFonts w:hint="eastAsia" w:ascii="宋体" w:hAnsi="宋体" w:cs="宋体"/>
                <w:sz w:val="24"/>
              </w:rPr>
            </w:pPr>
            <w:r>
              <w:rPr>
                <w:rFonts w:hint="eastAsia" w:ascii="宋体" w:hAnsi="宋体" w:cs="宋体"/>
                <w:sz w:val="24"/>
              </w:rPr>
              <w:t>出院诊断在病案首页的遗漏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highlight w:val="yellow"/>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其他诊断错误质控点</w:t>
            </w:r>
          </w:p>
        </w:tc>
        <w:tc>
          <w:tcPr>
            <w:tcW w:w="5855" w:type="dxa"/>
            <w:vAlign w:val="center"/>
          </w:tcPr>
          <w:p>
            <w:pPr>
              <w:pStyle w:val="16"/>
              <w:spacing w:after="0" w:line="400" w:lineRule="exact"/>
              <w:ind w:hanging="2"/>
              <w:rPr>
                <w:rFonts w:hint="eastAsia" w:ascii="宋体" w:hAnsi="宋体" w:cs="宋体"/>
                <w:sz w:val="24"/>
              </w:rPr>
            </w:pPr>
            <w:r>
              <w:rPr>
                <w:rFonts w:hint="eastAsia" w:ascii="宋体" w:hAnsi="宋体" w:cs="宋体"/>
                <w:sz w:val="24"/>
              </w:rPr>
              <w:t>入院记录正在治疗的疾病未列入病案首页其他诊断中：</w:t>
            </w:r>
          </w:p>
          <w:p>
            <w:pPr>
              <w:numPr>
                <w:ilvl w:val="0"/>
                <w:numId w:val="11"/>
              </w:numPr>
              <w:spacing w:line="400" w:lineRule="exact"/>
              <w:ind w:hanging="2" w:firstLineChars="0"/>
              <w:jc w:val="left"/>
              <w:rPr>
                <w:rFonts w:hint="eastAsia" w:cs="宋体"/>
              </w:rPr>
            </w:pPr>
            <w:r>
              <w:rPr>
                <w:rFonts w:hint="eastAsia" w:cs="宋体"/>
              </w:rPr>
              <w:t>病案首页出院诊断中Z37开头的ICD编码(分娩结局)存在重复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highlight w:val="yellow"/>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手术操作错误质控点</w:t>
            </w:r>
          </w:p>
        </w:tc>
        <w:tc>
          <w:tcPr>
            <w:tcW w:w="5855" w:type="dxa"/>
            <w:vAlign w:val="center"/>
          </w:tcPr>
          <w:p>
            <w:pPr>
              <w:pStyle w:val="16"/>
              <w:numPr>
                <w:ilvl w:val="0"/>
                <w:numId w:val="12"/>
              </w:numPr>
              <w:spacing w:after="0" w:line="400" w:lineRule="exact"/>
              <w:ind w:hanging="2"/>
              <w:jc w:val="left"/>
              <w:rPr>
                <w:rFonts w:hint="eastAsia" w:ascii="宋体" w:hAnsi="宋体" w:cs="宋体"/>
                <w:sz w:val="24"/>
              </w:rPr>
            </w:pPr>
            <w:r>
              <w:rPr>
                <w:rFonts w:hint="eastAsia" w:ascii="宋体" w:hAnsi="宋体" w:cs="宋体"/>
                <w:sz w:val="24"/>
              </w:rPr>
              <w:t>▲本次住院期间的手术不应书写为术后状态的诊断</w:t>
            </w:r>
          </w:p>
          <w:p>
            <w:pPr>
              <w:pStyle w:val="16"/>
              <w:numPr>
                <w:ilvl w:val="0"/>
                <w:numId w:val="12"/>
              </w:numPr>
              <w:spacing w:after="0" w:line="400" w:lineRule="exact"/>
              <w:ind w:hanging="2"/>
              <w:jc w:val="left"/>
              <w:rPr>
                <w:rFonts w:hint="eastAsia" w:ascii="宋体" w:hAnsi="宋体" w:cs="宋体"/>
                <w:sz w:val="24"/>
              </w:rPr>
            </w:pPr>
            <w:r>
              <w:rPr>
                <w:rFonts w:hint="eastAsia" w:ascii="宋体" w:hAnsi="宋体" w:cs="宋体"/>
                <w:sz w:val="24"/>
              </w:rPr>
              <w:t>手术入路在病案首页中的错误</w:t>
            </w:r>
          </w:p>
          <w:p>
            <w:pPr>
              <w:pStyle w:val="16"/>
              <w:numPr>
                <w:ilvl w:val="0"/>
                <w:numId w:val="12"/>
              </w:numPr>
              <w:spacing w:after="0" w:line="400" w:lineRule="exact"/>
              <w:ind w:hanging="2"/>
              <w:jc w:val="left"/>
              <w:rPr>
                <w:rFonts w:hint="eastAsia" w:ascii="宋体" w:hAnsi="宋体" w:cs="宋体"/>
                <w:sz w:val="24"/>
              </w:rPr>
            </w:pPr>
            <w:r>
              <w:rPr>
                <w:rFonts w:hint="eastAsia" w:ascii="宋体" w:hAnsi="宋体" w:cs="宋体"/>
                <w:sz w:val="24"/>
              </w:rPr>
              <w:t>病案首页四级手术分级选择错误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highlight w:val="yellow"/>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手术操作遗漏质控点</w:t>
            </w:r>
          </w:p>
        </w:tc>
        <w:tc>
          <w:tcPr>
            <w:tcW w:w="5855" w:type="dxa"/>
            <w:vAlign w:val="center"/>
          </w:tcPr>
          <w:p>
            <w:pPr>
              <w:numPr>
                <w:ilvl w:val="0"/>
                <w:numId w:val="13"/>
              </w:numPr>
              <w:spacing w:line="400" w:lineRule="exact"/>
              <w:ind w:hanging="2" w:firstLineChars="0"/>
              <w:jc w:val="left"/>
              <w:rPr>
                <w:rFonts w:hint="eastAsia" w:cs="宋体"/>
              </w:rPr>
            </w:pPr>
            <w:r>
              <w:rPr>
                <w:rFonts w:hint="eastAsia" w:cs="宋体"/>
              </w:rPr>
              <w:t>手术记录|术后首次病程|术前小结中的手术/操作在病案首页中的遗漏</w:t>
            </w:r>
          </w:p>
          <w:p>
            <w:pPr>
              <w:pStyle w:val="16"/>
              <w:numPr>
                <w:ilvl w:val="0"/>
                <w:numId w:val="13"/>
              </w:numPr>
              <w:spacing w:after="0" w:line="400" w:lineRule="exact"/>
              <w:ind w:hanging="2"/>
              <w:jc w:val="left"/>
              <w:rPr>
                <w:rFonts w:hint="eastAsia" w:ascii="宋体" w:hAnsi="宋体" w:cs="宋体"/>
                <w:sz w:val="24"/>
              </w:rPr>
            </w:pPr>
            <w:r>
              <w:rPr>
                <w:rFonts w:hint="eastAsia" w:ascii="宋体" w:hAnsi="宋体" w:cs="宋体"/>
                <w:sz w:val="24"/>
              </w:rPr>
              <w:t>手术经过中血管操作在病案首页手术/操作中存在遗漏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highlight w:val="yellow"/>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sz w:val="21"/>
                <w:szCs w:val="21"/>
              </w:rPr>
              <w:t>★用药后监测质控点</w:t>
            </w:r>
          </w:p>
        </w:tc>
        <w:tc>
          <w:tcPr>
            <w:tcW w:w="5855" w:type="dxa"/>
            <w:vAlign w:val="center"/>
          </w:tcPr>
          <w:p>
            <w:pPr>
              <w:spacing w:line="400" w:lineRule="exact"/>
              <w:ind w:firstLine="0" w:firstLineChars="0"/>
              <w:jc w:val="left"/>
              <w:rPr>
                <w:rFonts w:hint="eastAsia" w:cs="宋体"/>
              </w:rPr>
            </w:pPr>
            <w:r>
              <w:rPr>
                <w:rFonts w:hint="eastAsia" w:cs="宋体"/>
                <w:kern w:val="0"/>
                <w:sz w:val="21"/>
                <w:szCs w:val="21"/>
                <w:lang w:bidi="ar"/>
              </w:rPr>
              <w:t>药后需要监测患者病情状态时，可根据设置的监测指标（如生命体征、检验指标、检查指标）自动监测患者用药后的身体状态。例如，医生开立“阿奇霉素”、“醋硝香豆素片”医嘱时，系统自动监测用药后凝血酶原时间(P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highlight w:val="yellow"/>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sz w:val="21"/>
                <w:szCs w:val="21"/>
              </w:rPr>
              <w:t>★</w:t>
            </w:r>
            <w:r>
              <w:rPr>
                <w:rFonts w:hint="eastAsia" w:cs="宋体"/>
                <w:spacing w:val="-2"/>
                <w:sz w:val="21"/>
                <w:szCs w:val="21"/>
                <w:lang w:eastAsia="zh-Hans"/>
              </w:rPr>
              <w:t>检验</w:t>
            </w:r>
            <w:r>
              <w:rPr>
                <w:rFonts w:hint="eastAsia" w:cs="宋体"/>
                <w:spacing w:val="-2"/>
                <w:sz w:val="21"/>
                <w:szCs w:val="21"/>
              </w:rPr>
              <w:t>危急值质控点</w:t>
            </w:r>
          </w:p>
        </w:tc>
        <w:tc>
          <w:tcPr>
            <w:tcW w:w="5855" w:type="dxa"/>
            <w:vAlign w:val="center"/>
          </w:tcPr>
          <w:p>
            <w:pPr>
              <w:pStyle w:val="16"/>
              <w:numPr>
                <w:ilvl w:val="255"/>
                <w:numId w:val="0"/>
              </w:numPr>
              <w:rPr>
                <w:rFonts w:hint="eastAsia" w:ascii="宋体" w:hAnsi="宋体" w:cs="宋体"/>
                <w:kern w:val="0"/>
                <w:szCs w:val="21"/>
                <w:lang w:bidi="ar"/>
              </w:rPr>
            </w:pPr>
            <w:r>
              <w:rPr>
                <w:rFonts w:hint="eastAsia" w:ascii="宋体" w:hAnsi="宋体" w:cs="宋体"/>
                <w:kern w:val="0"/>
                <w:szCs w:val="21"/>
                <w:lang w:bidi="ar"/>
              </w:rPr>
              <w:t>检验危急值质控需满足以下功能：</w:t>
            </w:r>
          </w:p>
          <w:p>
            <w:pPr>
              <w:pStyle w:val="16"/>
              <w:numPr>
                <w:ilvl w:val="255"/>
                <w:numId w:val="0"/>
              </w:numPr>
              <w:rPr>
                <w:rFonts w:hint="eastAsia" w:ascii="宋体" w:hAnsi="宋体" w:cs="宋体"/>
                <w:iCs/>
                <w:szCs w:val="21"/>
              </w:rPr>
            </w:pPr>
            <w:r>
              <w:rPr>
                <w:rFonts w:hint="eastAsia" w:ascii="宋体" w:hAnsi="宋体" w:cs="宋体"/>
                <w:kern w:val="0"/>
                <w:szCs w:val="21"/>
                <w:lang w:bidi="ar"/>
              </w:rPr>
              <w:t>1.</w:t>
            </w:r>
            <w:r>
              <w:rPr>
                <w:rFonts w:hint="eastAsia" w:ascii="宋体" w:hAnsi="宋体" w:cs="宋体"/>
                <w:iCs/>
                <w:szCs w:val="21"/>
              </w:rPr>
              <w:t>支持医院自定义各项检验危急值质控点。对于定量结果，可设置参考值区间、高值备注、低值备注。对于定性结果，可设置参考值为阳性或阴性。可设置提醒的性别、年龄等参数。可设置应用场景为门诊和或住院。可设置质控点应用科室、提醒强度。对于危急检验结果，能够主动通知（如系统弹窗）医师、护士。</w:t>
            </w:r>
          </w:p>
          <w:p>
            <w:pPr>
              <w:numPr>
                <w:ilvl w:val="255"/>
                <w:numId w:val="0"/>
              </w:numPr>
              <w:rPr>
                <w:rFonts w:hint="eastAsia" w:cs="宋体"/>
                <w:strike/>
                <w:szCs w:val="21"/>
              </w:rPr>
            </w:pPr>
            <w:r>
              <w:rPr>
                <w:rFonts w:hint="eastAsia" w:cs="宋体"/>
                <w:sz w:val="21"/>
                <w:szCs w:val="21"/>
              </w:rPr>
              <w:t>2.可针对药物对检验项目的影响自定义预警质控点，当某患者某项检验结果异常且正在使用对该检验结果有影响的药物时，系统在医生端自动提醒某检验结果异常可能受到某药物的影响，如甲磺酸-a-二氢麦角隐亭可降低血PRL水平。</w:t>
            </w:r>
          </w:p>
          <w:p>
            <w:pPr>
              <w:spacing w:line="400" w:lineRule="exact"/>
              <w:ind w:firstLine="0" w:firstLineChars="0"/>
              <w:jc w:val="left"/>
              <w:rPr>
                <w:rFonts w:hint="eastAsia" w:cs="宋体"/>
                <w:kern w:val="0"/>
                <w:sz w:val="21"/>
                <w:szCs w:val="21"/>
                <w:lang w:bidi="ar"/>
              </w:rPr>
            </w:pPr>
            <w:r>
              <w:rPr>
                <w:rFonts w:hint="eastAsia" w:cs="宋体"/>
                <w:sz w:val="21"/>
                <w:szCs w:val="21"/>
              </w:rPr>
              <w:t>3.可针对检验结果的内容解读设置质控点，当最新一次检验结果符合提醒质控点时，系统在医生端自动提醒。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highlight w:val="yellow"/>
              </w:rPr>
            </w:pPr>
          </w:p>
        </w:tc>
        <w:tc>
          <w:tcPr>
            <w:tcW w:w="1115" w:type="dxa"/>
            <w:vAlign w:val="center"/>
          </w:tcPr>
          <w:p>
            <w:pPr>
              <w:spacing w:line="400" w:lineRule="exact"/>
              <w:ind w:firstLine="0" w:firstLineChars="0"/>
              <w:jc w:val="center"/>
              <w:rPr>
                <w:rFonts w:hint="eastAsia" w:cs="宋体"/>
                <w:sz w:val="21"/>
                <w:szCs w:val="21"/>
              </w:rPr>
            </w:pPr>
            <w:bookmarkStart w:id="7" w:name="OLE_LINK1"/>
            <w:r>
              <w:rPr>
                <w:rFonts w:hint="eastAsia" w:cs="宋体"/>
                <w:sz w:val="21"/>
                <w:szCs w:val="21"/>
              </w:rPr>
              <w:t>★</w:t>
            </w:r>
            <w:bookmarkEnd w:id="7"/>
            <w:r>
              <w:rPr>
                <w:rFonts w:hint="eastAsia" w:cs="宋体"/>
                <w:color w:val="000000" w:themeColor="text1"/>
                <w:spacing w:val="2"/>
                <w:sz w:val="21"/>
                <w:szCs w:val="21"/>
                <w14:textFill>
                  <w14:solidFill>
                    <w14:schemeClr w14:val="tx1"/>
                  </w14:solidFill>
                </w14:textFill>
              </w:rPr>
              <w:t>智能推荐治疗方案</w:t>
            </w:r>
          </w:p>
        </w:tc>
        <w:tc>
          <w:tcPr>
            <w:tcW w:w="5855" w:type="dxa"/>
            <w:vAlign w:val="center"/>
          </w:tcPr>
          <w:p>
            <w:pPr>
              <w:pStyle w:val="16"/>
              <w:numPr>
                <w:ilvl w:val="255"/>
                <w:numId w:val="0"/>
              </w:numPr>
              <w:rPr>
                <w:rFonts w:hint="eastAsia" w:ascii="宋体" w:hAnsi="宋体" w:cs="宋体"/>
                <w:kern w:val="0"/>
                <w:szCs w:val="21"/>
                <w:lang w:bidi="ar"/>
              </w:rPr>
            </w:pPr>
            <w:r>
              <w:rPr>
                <w:rFonts w:hint="eastAsia" w:ascii="宋体" w:hAnsi="宋体" w:cs="宋体"/>
                <w:color w:val="000000" w:themeColor="text1"/>
                <w:spacing w:val="2"/>
                <w:szCs w:val="21"/>
                <w14:textFill>
                  <w14:solidFill>
                    <w14:schemeClr w14:val="tx1"/>
                  </w14:solidFill>
                </w14:textFill>
              </w:rPr>
              <w:t>根据患者病情推荐诊疗方案。如诊断为“乳腺癌”患者，系统推荐完善TNM分期、分子分型、ECOG评分等，推荐的综合治疗方案中应包含生物靶向药物治疗、辅助内分泌治疗、化疗药物的具体用药方案。如在辅助检查中补充检查结果：HER2阴性、PR阴性、ER阴性​，则系统解读为三阴性乳腺癌，推荐治疗方案中</w:t>
            </w:r>
            <w:r>
              <w:rPr>
                <w:rFonts w:hint="eastAsia" w:ascii="宋体" w:hAnsi="宋体" w:cs="宋体"/>
                <w:color w:val="000000" w:themeColor="text1"/>
                <w:kern w:val="0"/>
                <w:szCs w:val="21"/>
                <w:lang w:eastAsia="zh-Hans"/>
                <w14:textFill>
                  <w14:solidFill>
                    <w14:schemeClr w14:val="tx1"/>
                  </w14:solidFill>
                </w14:textFill>
              </w:rPr>
              <w:t>增加MDT会诊讨论三阴性乳腺癌治疗方案</w:t>
            </w:r>
            <w:r>
              <w:rPr>
                <w:rFonts w:hint="eastAsia" w:ascii="宋体" w:hAnsi="宋体" w:cs="宋体"/>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restart"/>
            <w:vAlign w:val="center"/>
          </w:tcPr>
          <w:p>
            <w:pPr>
              <w:spacing w:line="400" w:lineRule="exact"/>
              <w:ind w:firstLine="0" w:firstLineChars="0"/>
              <w:jc w:val="left"/>
              <w:rPr>
                <w:rFonts w:hint="eastAsia" w:cs="宋体"/>
                <w:color w:val="000000"/>
                <w:kern w:val="0"/>
              </w:rPr>
            </w:pPr>
            <w:r>
              <w:rPr>
                <w:rFonts w:hint="eastAsia" w:cs="宋体"/>
                <w:color w:val="000000"/>
                <w:kern w:val="0"/>
              </w:rPr>
              <w:t>编码质控点</w:t>
            </w: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质控点覆盖</w:t>
            </w:r>
          </w:p>
        </w:tc>
        <w:tc>
          <w:tcPr>
            <w:tcW w:w="5855" w:type="dxa"/>
            <w:vAlign w:val="center"/>
          </w:tcPr>
          <w:p>
            <w:pPr>
              <w:spacing w:line="400" w:lineRule="exact"/>
              <w:ind w:firstLine="0" w:firstLineChars="0"/>
              <w:jc w:val="left"/>
              <w:rPr>
                <w:rFonts w:hint="eastAsia" w:cs="宋体"/>
                <w:color w:val="000000"/>
                <w:kern w:val="0"/>
              </w:rPr>
            </w:pPr>
            <w:r>
              <w:rPr>
                <w:rFonts w:cs="宋体"/>
                <w:color w:val="000000"/>
                <w:kern w:val="0"/>
              </w:rPr>
              <w:t>支持不低于</w:t>
            </w:r>
            <w:r>
              <w:rPr>
                <w:rFonts w:hint="eastAsia" w:cs="宋体"/>
                <w:color w:val="000000"/>
                <w:kern w:val="0"/>
              </w:rPr>
              <w:t>3</w:t>
            </w:r>
            <w:r>
              <w:rPr>
                <w:rFonts w:cs="宋体"/>
                <w:color w:val="000000"/>
                <w:kern w:val="0"/>
              </w:rPr>
              <w:t>000多条编码质控</w:t>
            </w:r>
            <w:r>
              <w:rPr>
                <w:rFonts w:hint="eastAsia" w:cs="宋体"/>
                <w:color w:val="000000"/>
                <w:kern w:val="0"/>
              </w:rPr>
              <w:t>点</w:t>
            </w:r>
            <w:r>
              <w:rPr>
                <w:rFonts w:cs="宋体"/>
                <w:color w:val="000000"/>
                <w:kern w:val="0"/>
              </w:rPr>
              <w:t>，包含对疾病诊断和手术操作编码质控</w:t>
            </w:r>
            <w:r>
              <w:rPr>
                <w:rFonts w:hint="eastAsia" w:cs="宋体"/>
                <w:color w:val="000000"/>
                <w:kern w:val="0"/>
              </w:rPr>
              <w:t>点</w:t>
            </w:r>
            <w:r>
              <w:rPr>
                <w:rFonts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诊断编码质控点</w:t>
            </w:r>
          </w:p>
        </w:tc>
        <w:tc>
          <w:tcPr>
            <w:tcW w:w="5855" w:type="dxa"/>
            <w:vAlign w:val="center"/>
          </w:tcPr>
          <w:p>
            <w:pPr>
              <w:spacing w:line="400" w:lineRule="exact"/>
              <w:ind w:firstLine="0" w:firstLineChars="0"/>
              <w:jc w:val="left"/>
              <w:rPr>
                <w:rFonts w:hint="eastAsia" w:cs="宋体"/>
                <w:color w:val="000000"/>
                <w:kern w:val="0"/>
              </w:rPr>
            </w:pPr>
            <w:r>
              <w:rPr>
                <w:rFonts w:hint="eastAsia" w:cs="宋体"/>
                <w:color w:val="000000"/>
                <w:kern w:val="0"/>
              </w:rPr>
              <w:t>▲系统应涵盖主诊选择错误、诊断漏编、合并编码、编码冲突、以及编码位置错误等诊断编码质控点。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Align w:val="center"/>
          </w:tcPr>
          <w:p>
            <w:pPr>
              <w:spacing w:line="400" w:lineRule="exact"/>
              <w:ind w:firstLine="0" w:firstLineChars="0"/>
              <w:jc w:val="center"/>
              <w:rPr>
                <w:rFonts w:hint="eastAsia" w:cs="宋体"/>
                <w:color w:val="000000"/>
                <w:kern w:val="0"/>
              </w:rPr>
            </w:pPr>
            <w:r>
              <w:rPr>
                <w:rFonts w:hint="eastAsia" w:cs="宋体"/>
                <w:color w:val="000000"/>
                <w:kern w:val="0"/>
              </w:rPr>
              <w:t>手术编码质控点</w:t>
            </w:r>
          </w:p>
        </w:tc>
        <w:tc>
          <w:tcPr>
            <w:tcW w:w="5855" w:type="dxa"/>
            <w:vAlign w:val="center"/>
          </w:tcPr>
          <w:p>
            <w:pPr>
              <w:spacing w:line="400" w:lineRule="exact"/>
              <w:ind w:firstLine="0" w:firstLineChars="0"/>
              <w:jc w:val="left"/>
              <w:rPr>
                <w:rFonts w:hint="eastAsia" w:cs="宋体"/>
                <w:color w:val="000000"/>
                <w:kern w:val="0"/>
              </w:rPr>
            </w:pPr>
            <w:r>
              <w:rPr>
                <w:rFonts w:hint="eastAsia" w:cs="宋体"/>
                <w:color w:val="000000"/>
                <w:kern w:val="0"/>
              </w:rPr>
              <w:t>▲系统应涵盖另编码遗漏、另编码疑似遗漏、手术省略编码多编、手术编码冲突以及合并编码等不同手术编码质控点。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restart"/>
            <w:vAlign w:val="center"/>
          </w:tcPr>
          <w:p>
            <w:pPr>
              <w:spacing w:line="400" w:lineRule="exact"/>
              <w:ind w:firstLine="0" w:firstLineChars="0"/>
              <w:jc w:val="left"/>
              <w:rPr>
                <w:rFonts w:hint="eastAsia" w:cs="宋体"/>
                <w:color w:val="000000"/>
                <w:kern w:val="0"/>
              </w:rPr>
            </w:pPr>
            <w:r>
              <w:rPr>
                <w:rFonts w:hint="eastAsia" w:cs="宋体"/>
                <w:color w:val="000000"/>
                <w:kern w:val="0"/>
              </w:rPr>
              <w:t>智能分析与辅助</w:t>
            </w:r>
          </w:p>
        </w:tc>
        <w:tc>
          <w:tcPr>
            <w:tcW w:w="1115" w:type="dxa"/>
            <w:vMerge w:val="restart"/>
            <w:vAlign w:val="center"/>
          </w:tcPr>
          <w:p>
            <w:pPr>
              <w:spacing w:line="400" w:lineRule="exact"/>
              <w:ind w:firstLine="0" w:firstLineChars="0"/>
              <w:jc w:val="center"/>
              <w:rPr>
                <w:rFonts w:hint="eastAsia" w:cs="宋体"/>
                <w:color w:val="000000"/>
                <w:kern w:val="0"/>
              </w:rPr>
            </w:pPr>
            <w:r>
              <w:rPr>
                <w:rFonts w:hint="eastAsia" w:cs="宋体"/>
                <w:color w:val="000000"/>
                <w:kern w:val="0"/>
              </w:rPr>
              <w:t>罕见病风险预警模块</w:t>
            </w:r>
          </w:p>
        </w:tc>
        <w:tc>
          <w:tcPr>
            <w:tcW w:w="5855" w:type="dxa"/>
            <w:vAlign w:val="center"/>
          </w:tcPr>
          <w:p>
            <w:pPr>
              <w:spacing w:line="400" w:lineRule="exact"/>
              <w:ind w:firstLine="0" w:firstLineChars="0"/>
              <w:jc w:val="left"/>
              <w:rPr>
                <w:rFonts w:hint="eastAsia" w:cs="宋体"/>
                <w:color w:val="000000"/>
                <w:kern w:val="0"/>
              </w:rPr>
            </w:pPr>
            <w:r>
              <w:rPr>
                <w:rFonts w:hint="eastAsia" w:cs="宋体"/>
                <w:color w:val="000000"/>
                <w:kern w:val="0"/>
              </w:rPr>
              <w:t>病种覆盖至少一个罕见病，例如肝豆状核变性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jc w:val="left"/>
              <w:rPr>
                <w:rFonts w:hint="eastAsia" w:cs="宋体"/>
                <w:color w:val="000000"/>
                <w:kern w:val="0"/>
              </w:rPr>
            </w:pPr>
          </w:p>
        </w:tc>
        <w:tc>
          <w:tcPr>
            <w:tcW w:w="1115" w:type="dxa"/>
            <w:vMerge w:val="continue"/>
            <w:vAlign w:val="center"/>
          </w:tcPr>
          <w:p>
            <w:pPr>
              <w:spacing w:line="400" w:lineRule="exact"/>
              <w:jc w:val="center"/>
              <w:rPr>
                <w:rFonts w:hint="eastAsia" w:cs="宋体"/>
                <w:color w:val="000000"/>
                <w:kern w:val="0"/>
              </w:rPr>
            </w:pPr>
          </w:p>
        </w:tc>
        <w:tc>
          <w:tcPr>
            <w:tcW w:w="5855" w:type="dxa"/>
            <w:vAlign w:val="center"/>
          </w:tcPr>
          <w:p>
            <w:pPr>
              <w:spacing w:line="400" w:lineRule="exact"/>
              <w:ind w:firstLine="0" w:firstLineChars="0"/>
              <w:jc w:val="left"/>
              <w:rPr>
                <w:rFonts w:hint="eastAsia" w:cs="宋体"/>
                <w:color w:val="000000"/>
                <w:kern w:val="0"/>
              </w:rPr>
            </w:pPr>
            <w:r>
              <w:rPr>
                <w:rFonts w:hint="eastAsia" w:cs="宋体"/>
                <w:color w:val="000000"/>
                <w:kern w:val="0"/>
              </w:rPr>
              <w:t>支持基于患者数据筛选，帮助医生快速识别特定患病风险的群体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jc w:val="left"/>
              <w:rPr>
                <w:rFonts w:hint="eastAsia" w:cs="宋体"/>
                <w:color w:val="000000"/>
                <w:kern w:val="0"/>
              </w:rPr>
            </w:pPr>
          </w:p>
        </w:tc>
        <w:tc>
          <w:tcPr>
            <w:tcW w:w="1115" w:type="dxa"/>
            <w:vMerge w:val="continue"/>
            <w:vAlign w:val="center"/>
          </w:tcPr>
          <w:p>
            <w:pPr>
              <w:spacing w:line="400" w:lineRule="exact"/>
              <w:jc w:val="center"/>
              <w:rPr>
                <w:rFonts w:hint="eastAsia" w:cs="宋体"/>
                <w:color w:val="000000"/>
                <w:kern w:val="0"/>
              </w:rPr>
            </w:pPr>
          </w:p>
        </w:tc>
        <w:tc>
          <w:tcPr>
            <w:tcW w:w="5855" w:type="dxa"/>
            <w:vAlign w:val="center"/>
          </w:tcPr>
          <w:p>
            <w:pPr>
              <w:spacing w:line="400" w:lineRule="exact"/>
              <w:ind w:firstLine="0" w:firstLineChars="0"/>
              <w:jc w:val="left"/>
              <w:rPr>
                <w:rFonts w:hint="eastAsia" w:cs="宋体"/>
                <w:color w:val="000000"/>
                <w:kern w:val="0"/>
              </w:rPr>
            </w:pPr>
            <w:r>
              <w:rPr>
                <w:rFonts w:hint="eastAsia" w:cs="宋体"/>
                <w:color w:val="000000"/>
                <w:kern w:val="0"/>
              </w:rPr>
              <w:t>支持医生端展示风险预警结果，一键溯源查看病历原文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jc w:val="left"/>
              <w:rPr>
                <w:rFonts w:hint="eastAsia" w:cs="宋体"/>
                <w:color w:val="000000"/>
                <w:kern w:val="0"/>
              </w:rPr>
            </w:pPr>
          </w:p>
        </w:tc>
        <w:tc>
          <w:tcPr>
            <w:tcW w:w="1115" w:type="dxa"/>
            <w:vAlign w:val="center"/>
          </w:tcPr>
          <w:p>
            <w:pPr>
              <w:spacing w:line="400" w:lineRule="exact"/>
              <w:ind w:firstLine="0" w:firstLineChars="0"/>
              <w:rPr>
                <w:rFonts w:hint="eastAsia" w:cs="宋体"/>
                <w:color w:val="000000"/>
                <w:kern w:val="0"/>
              </w:rPr>
            </w:pPr>
            <w:r>
              <w:rPr>
                <w:rFonts w:hint="eastAsia" w:cs="宋体"/>
                <w:sz w:val="21"/>
                <w:szCs w:val="21"/>
              </w:rPr>
              <w:t>★</w:t>
            </w:r>
            <w:r>
              <w:rPr>
                <w:rFonts w:hint="eastAsia" w:cs="宋体"/>
                <w:spacing w:val="2"/>
                <w:sz w:val="21"/>
                <w:szCs w:val="21"/>
              </w:rPr>
              <w:t>MEWS智能评估</w:t>
            </w:r>
          </w:p>
        </w:tc>
        <w:tc>
          <w:tcPr>
            <w:tcW w:w="5855" w:type="dxa"/>
            <w:vAlign w:val="center"/>
          </w:tcPr>
          <w:p>
            <w:pPr>
              <w:spacing w:line="400" w:lineRule="exact"/>
              <w:ind w:firstLine="0" w:firstLineChars="0"/>
              <w:jc w:val="left"/>
              <w:rPr>
                <w:rFonts w:hint="eastAsia" w:cs="宋体"/>
                <w:color w:val="000000"/>
                <w:kern w:val="0"/>
              </w:rPr>
            </w:pPr>
            <w:r>
              <w:rPr>
                <w:rFonts w:hint="eastAsia" w:cs="宋体"/>
                <w:color w:val="000000"/>
                <w:sz w:val="21"/>
                <w:szCs w:val="21"/>
              </w:rPr>
              <w:t>MEWS评分表，能够引用生理参数，可根据知识库提供评估结果分析并给出危重程度警示。支持评估依据查看溯源。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jc w:val="left"/>
              <w:rPr>
                <w:rFonts w:hint="eastAsia" w:cs="宋体"/>
                <w:color w:val="000000"/>
                <w:kern w:val="0"/>
              </w:rPr>
            </w:pPr>
          </w:p>
        </w:tc>
        <w:tc>
          <w:tcPr>
            <w:tcW w:w="1115" w:type="dxa"/>
            <w:vAlign w:val="center"/>
          </w:tcPr>
          <w:p>
            <w:pPr>
              <w:spacing w:line="400" w:lineRule="exact"/>
              <w:ind w:firstLine="0" w:firstLineChars="0"/>
              <w:rPr>
                <w:rFonts w:hint="eastAsia" w:cs="宋体"/>
                <w:color w:val="000000"/>
                <w:kern w:val="0"/>
              </w:rPr>
            </w:pPr>
            <w:bookmarkStart w:id="8" w:name="OLE_LINK9"/>
            <w:r>
              <w:rPr>
                <w:rFonts w:hint="eastAsia" w:cs="宋体"/>
                <w:color w:val="000000"/>
                <w:sz w:val="21"/>
                <w:szCs w:val="21"/>
              </w:rPr>
              <w:t>▲</w:t>
            </w:r>
            <w:bookmarkEnd w:id="8"/>
            <w:r>
              <w:rPr>
                <w:rFonts w:hint="eastAsia" w:cs="宋体"/>
                <w:spacing w:val="2"/>
                <w:sz w:val="21"/>
                <w:szCs w:val="21"/>
              </w:rPr>
              <w:t>SOFA智能评估</w:t>
            </w:r>
          </w:p>
        </w:tc>
        <w:tc>
          <w:tcPr>
            <w:tcW w:w="5855" w:type="dxa"/>
            <w:vAlign w:val="center"/>
          </w:tcPr>
          <w:p>
            <w:pPr>
              <w:spacing w:line="400" w:lineRule="exact"/>
              <w:ind w:firstLine="0" w:firstLineChars="0"/>
              <w:jc w:val="left"/>
              <w:rPr>
                <w:rFonts w:hint="eastAsia" w:cs="宋体"/>
                <w:color w:val="000000"/>
                <w:kern w:val="0"/>
              </w:rPr>
            </w:pPr>
            <w:r>
              <w:rPr>
                <w:rFonts w:hint="eastAsia" w:cs="宋体"/>
                <w:color w:val="000000"/>
                <w:sz w:val="21"/>
                <w:szCs w:val="21"/>
              </w:rPr>
              <w:t>SOFA评分表能够引用生理参数，可根据知识库提供评估结果分析并给出危重程度警示。支持评估依据查看溯源。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jc w:val="left"/>
              <w:rPr>
                <w:rFonts w:hint="eastAsia" w:cs="宋体"/>
                <w:color w:val="000000"/>
                <w:kern w:val="0"/>
              </w:rPr>
            </w:pPr>
          </w:p>
        </w:tc>
        <w:tc>
          <w:tcPr>
            <w:tcW w:w="1115" w:type="dxa"/>
            <w:vAlign w:val="center"/>
          </w:tcPr>
          <w:p>
            <w:pPr>
              <w:spacing w:line="400" w:lineRule="exact"/>
              <w:ind w:firstLine="0" w:firstLineChars="0"/>
              <w:rPr>
                <w:rFonts w:hint="eastAsia" w:cs="宋体"/>
                <w:color w:val="000000"/>
                <w:sz w:val="21"/>
                <w:szCs w:val="21"/>
              </w:rPr>
            </w:pPr>
            <w:r>
              <w:rPr>
                <w:rFonts w:hint="eastAsia" w:cs="宋体"/>
                <w:color w:val="000000"/>
                <w:sz w:val="21"/>
                <w:szCs w:val="21"/>
              </w:rPr>
              <w:t>▲治疗前评估</w:t>
            </w:r>
          </w:p>
        </w:tc>
        <w:tc>
          <w:tcPr>
            <w:tcW w:w="5855" w:type="dxa"/>
            <w:vAlign w:val="center"/>
          </w:tcPr>
          <w:p>
            <w:pPr>
              <w:spacing w:line="400" w:lineRule="exact"/>
              <w:ind w:firstLine="0" w:firstLineChars="0"/>
              <w:jc w:val="left"/>
              <w:rPr>
                <w:rFonts w:hint="eastAsia" w:cs="宋体"/>
                <w:color w:val="000000"/>
                <w:sz w:val="21"/>
                <w:szCs w:val="21"/>
              </w:rPr>
            </w:pPr>
            <w:r>
              <w:rPr>
                <w:rFonts w:hint="eastAsia" w:cs="宋体"/>
                <w:color w:val="000000"/>
                <w:sz w:val="21"/>
                <w:szCs w:val="21"/>
              </w:rPr>
              <w:t>放疗科治疗评估量表、高压氧治疗前评估表能够引用检验、检查数据。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ind w:firstLine="0" w:firstLineChars="0"/>
              <w:jc w:val="left"/>
              <w:rPr>
                <w:rFonts w:hint="eastAsia" w:cs="宋体"/>
                <w:color w:val="000000"/>
                <w:kern w:val="0"/>
              </w:rPr>
            </w:pPr>
          </w:p>
        </w:tc>
        <w:tc>
          <w:tcPr>
            <w:tcW w:w="1115" w:type="dxa"/>
            <w:vAlign w:val="center"/>
          </w:tcPr>
          <w:p>
            <w:pPr>
              <w:spacing w:line="400" w:lineRule="exact"/>
              <w:ind w:firstLine="0" w:firstLineChars="0"/>
              <w:rPr>
                <w:rFonts w:hint="eastAsia" w:cs="宋体"/>
                <w:color w:val="000000"/>
                <w:kern w:val="0"/>
              </w:rPr>
            </w:pPr>
            <w:r>
              <w:rPr>
                <w:rFonts w:hint="eastAsia" w:cs="宋体"/>
                <w:sz w:val="21"/>
                <w:szCs w:val="21"/>
              </w:rPr>
              <w:t>★</w:t>
            </w:r>
            <w:r>
              <w:rPr>
                <w:rFonts w:hint="eastAsia" w:cs="宋体"/>
                <w:color w:val="000000"/>
                <w:kern w:val="0"/>
              </w:rPr>
              <w:t>视频知识库</w:t>
            </w:r>
          </w:p>
        </w:tc>
        <w:tc>
          <w:tcPr>
            <w:tcW w:w="5855" w:type="dxa"/>
            <w:vAlign w:val="center"/>
          </w:tcPr>
          <w:p>
            <w:pPr>
              <w:spacing w:line="400" w:lineRule="exact"/>
              <w:ind w:firstLine="0" w:firstLineChars="0"/>
              <w:jc w:val="left"/>
              <w:rPr>
                <w:rFonts w:hint="eastAsia" w:cs="宋体"/>
                <w:color w:val="000000"/>
                <w:kern w:val="0"/>
              </w:rPr>
            </w:pPr>
            <w:r>
              <w:rPr>
                <w:rFonts w:hint="eastAsia" w:cs="宋体"/>
                <w:sz w:val="21"/>
                <w:szCs w:val="21"/>
              </w:rPr>
              <w:t>在知识库中提供不少于10个医管视频课程资源，从医生端进入知识库后，可通过移动终端观看国内知名医院专家讲授的视频课程，内容至少应包括高质量发展、医院评审准备、临床路径实践与智能化、三级公立医院绩效考核指标解读、DRG支付下的精益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jc w:val="left"/>
              <w:rPr>
                <w:rFonts w:hint="eastAsia" w:cs="宋体"/>
                <w:color w:val="000000"/>
                <w:kern w:val="0"/>
              </w:rPr>
            </w:pPr>
          </w:p>
        </w:tc>
        <w:tc>
          <w:tcPr>
            <w:tcW w:w="1115" w:type="dxa"/>
            <w:vAlign w:val="center"/>
          </w:tcPr>
          <w:p>
            <w:pPr>
              <w:spacing w:line="400" w:lineRule="exact"/>
              <w:ind w:firstLine="0" w:firstLineChars="0"/>
              <w:rPr>
                <w:rFonts w:hint="eastAsia" w:cs="宋体"/>
                <w:color w:val="000000"/>
                <w:kern w:val="0"/>
              </w:rPr>
            </w:pPr>
            <w:bookmarkStart w:id="9" w:name="OLE_LINK4"/>
            <w:r>
              <w:rPr>
                <w:rFonts w:hint="eastAsia" w:cs="宋体"/>
                <w:sz w:val="21"/>
                <w:szCs w:val="21"/>
              </w:rPr>
              <w:t>▲</w:t>
            </w:r>
            <w:bookmarkEnd w:id="9"/>
            <w:r>
              <w:rPr>
                <w:rFonts w:hint="eastAsia" w:cs="宋体"/>
                <w:color w:val="000000"/>
                <w:kern w:val="0"/>
              </w:rPr>
              <w:t>中医知识库</w:t>
            </w:r>
          </w:p>
        </w:tc>
        <w:tc>
          <w:tcPr>
            <w:tcW w:w="5855" w:type="dxa"/>
            <w:vAlign w:val="center"/>
          </w:tcPr>
          <w:p>
            <w:pPr>
              <w:spacing w:line="400" w:lineRule="exact"/>
              <w:ind w:firstLine="0" w:firstLineChars="0"/>
              <w:jc w:val="left"/>
              <w:rPr>
                <w:rFonts w:hint="eastAsia" w:cs="宋体"/>
                <w:sz w:val="21"/>
                <w:szCs w:val="21"/>
              </w:rPr>
            </w:pPr>
            <w:r>
              <w:rPr>
                <w:rFonts w:hint="eastAsia" w:cs="宋体"/>
                <w:sz w:val="21"/>
                <w:szCs w:val="21"/>
              </w:rPr>
              <w:t>医学知识库至少提供1100种中医诊断知识。</w:t>
            </w:r>
          </w:p>
          <w:p>
            <w:pPr>
              <w:spacing w:line="400" w:lineRule="exact"/>
              <w:ind w:firstLine="0" w:firstLineChars="0"/>
              <w:jc w:val="left"/>
              <w:rPr>
                <w:rFonts w:hint="eastAsia" w:cs="宋体"/>
                <w:sz w:val="21"/>
                <w:szCs w:val="21"/>
              </w:rPr>
            </w:pPr>
            <w:r>
              <w:rPr>
                <w:rFonts w:hint="eastAsia" w:cs="宋体"/>
                <w:sz w:val="21"/>
                <w:szCs w:val="21"/>
              </w:rPr>
              <w:t>医学知识库至少提供50000+中药方剂，中药方剂有权威出处，例如《伤寒论》、《备急千金要方》、《金匮要略》等中医典籍，医生可在临床端通过关键字、首字母等多种方式自主检索中药方剂知识，可查看每个中药方剂的来源、方剂名称、来源、组成、用法、主治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26" w:type="dxa"/>
            <w:vMerge w:val="continue"/>
            <w:vAlign w:val="center"/>
          </w:tcPr>
          <w:p>
            <w:pPr>
              <w:spacing w:line="400" w:lineRule="exact"/>
              <w:jc w:val="left"/>
              <w:rPr>
                <w:rFonts w:hint="eastAsia" w:cs="宋体"/>
                <w:color w:val="000000"/>
                <w:kern w:val="0"/>
              </w:rPr>
            </w:pPr>
          </w:p>
        </w:tc>
        <w:tc>
          <w:tcPr>
            <w:tcW w:w="1115" w:type="dxa"/>
            <w:vAlign w:val="center"/>
          </w:tcPr>
          <w:p>
            <w:pPr>
              <w:spacing w:line="400" w:lineRule="exact"/>
              <w:ind w:firstLine="0" w:firstLineChars="0"/>
              <w:rPr>
                <w:rFonts w:hint="eastAsia" w:cs="宋体"/>
                <w:color w:val="000000"/>
                <w:kern w:val="0"/>
              </w:rPr>
            </w:pPr>
            <w:r>
              <w:rPr>
                <w:rFonts w:hint="eastAsia" w:cs="宋体"/>
                <w:sz w:val="21"/>
                <w:szCs w:val="21"/>
              </w:rPr>
              <w:t>▲</w:t>
            </w:r>
            <w:r>
              <w:rPr>
                <w:rFonts w:hint="eastAsia" w:cs="宋体"/>
                <w:color w:val="000000"/>
                <w:kern w:val="0"/>
              </w:rPr>
              <w:t>文献库</w:t>
            </w:r>
          </w:p>
        </w:tc>
        <w:tc>
          <w:tcPr>
            <w:tcW w:w="5855" w:type="dxa"/>
            <w:vAlign w:val="center"/>
          </w:tcPr>
          <w:p>
            <w:pPr>
              <w:spacing w:line="400" w:lineRule="exact"/>
              <w:ind w:firstLine="0" w:firstLineChars="0"/>
              <w:jc w:val="left"/>
              <w:rPr>
                <w:rFonts w:hint="eastAsia" w:cs="宋体"/>
                <w:sz w:val="21"/>
                <w:szCs w:val="21"/>
              </w:rPr>
            </w:pPr>
            <w:r>
              <w:rPr>
                <w:rFonts w:hint="eastAsia" w:cs="宋体"/>
                <w:sz w:val="21"/>
                <w:szCs w:val="21"/>
              </w:rPr>
              <w:t>该知识库跟踪专业领域重要国际性期刊，遴选高质量文献，供医生在诊疗过程中查阅，数量不少于15000篇。临床医师可以在本地上传更多文献资料以丰富文献库内容。</w:t>
            </w:r>
          </w:p>
        </w:tc>
      </w:tr>
    </w:tbl>
    <w:p>
      <w:pPr>
        <w:ind w:firstLine="0" w:firstLineChars="0"/>
        <w:rPr>
          <w:rFonts w:hint="eastAsia" w:eastAsia="方正仿宋_GBK"/>
        </w:rPr>
      </w:pPr>
    </w:p>
    <w:p>
      <w:pPr>
        <w:pStyle w:val="7"/>
        <w:rPr>
          <w:rFonts w:hint="eastAsia"/>
        </w:rPr>
      </w:pPr>
      <w:r>
        <w:rPr>
          <w:rFonts w:hint="eastAsia"/>
        </w:rPr>
        <w:t>AI大模型智能语音分析基座</w:t>
      </w:r>
    </w:p>
    <w:p>
      <w:pPr>
        <w:rPr>
          <w:rFonts w:hint="eastAsia" w:cs="宋体"/>
          <w:color w:val="EE0000"/>
          <w:highlight w:val="yellow"/>
        </w:rPr>
      </w:pPr>
      <w:r>
        <w:rPr>
          <w:rFonts w:hint="eastAsia" w:cs="宋体"/>
          <w:color w:val="EE0000"/>
          <w:highlight w:val="yellow"/>
        </w:rPr>
        <w:t>本服务部署于大足区人民医院，为AI语音病历提供大模型推理能力。</w:t>
      </w:r>
      <w:r>
        <w:rPr>
          <w:rFonts w:cs="宋体"/>
          <w:color w:val="EE0000"/>
          <w:highlight w:val="yellow"/>
        </w:rPr>
        <w:t>服务大足区人民医院及</w:t>
      </w:r>
      <w:r>
        <w:rPr>
          <w:rFonts w:hint="eastAsia" w:cs="宋体"/>
          <w:color w:val="EE0000"/>
          <w:highlight w:val="yellow"/>
        </w:rPr>
        <w:t>大足区区域</w:t>
      </w:r>
      <w:r>
        <w:rPr>
          <w:rFonts w:cs="宋体"/>
          <w:color w:val="EE0000"/>
          <w:highlight w:val="yellow"/>
        </w:rPr>
        <w:t>医共体成员医疗机构，区内医共体单位均可接入调用</w:t>
      </w:r>
      <w:r>
        <w:rPr>
          <w:rFonts w:hint="eastAsia" w:cs="宋体"/>
          <w:color w:val="EE0000"/>
          <w:highlight w:val="yellow"/>
        </w:rPr>
        <w:t>本服务所有API</w:t>
      </w:r>
      <w:r>
        <w:rPr>
          <w:rFonts w:cs="宋体"/>
          <w:color w:val="EE0000"/>
          <w:highlight w:val="yellow"/>
        </w:rPr>
        <w:t>；</w:t>
      </w:r>
      <w:r>
        <w:rPr>
          <w:rFonts w:hint="eastAsia" w:cs="宋体"/>
          <w:color w:val="EE0000"/>
          <w:highlight w:val="yellow"/>
        </w:rPr>
        <w:t>服务</w:t>
      </w:r>
      <w:r>
        <w:rPr>
          <w:rFonts w:cs="宋体"/>
          <w:color w:val="EE0000"/>
          <w:highlight w:val="yellow"/>
        </w:rPr>
        <w:t>算力支持弹性扩容，可按需拓展算力资源，满足后续业务增长需求。</w:t>
      </w:r>
    </w:p>
    <w:p>
      <w:pPr>
        <w:rPr>
          <w:rFonts w:hint="eastAsia" w:cs="宋体"/>
          <w:color w:val="EE0000"/>
        </w:rPr>
      </w:pPr>
      <w:r>
        <w:rPr>
          <w:rFonts w:hint="eastAsia" w:cs="宋体"/>
          <w:color w:val="EE0000"/>
          <w:highlight w:val="yellow"/>
        </w:rPr>
        <w:t>注：区域医共体成员医疗机构系统接入、配套改造产生的相关费用不包含在本项目建设范围内，费用另行核算。</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300"/>
        <w:gridCol w:w="6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tcPr>
          <w:p>
            <w:pPr>
              <w:snapToGrid w:val="0"/>
              <w:spacing w:line="400" w:lineRule="exact"/>
              <w:ind w:firstLine="0" w:firstLineChars="0"/>
              <w:jc w:val="center"/>
              <w:rPr>
                <w:rFonts w:hint="eastAsia" w:cs="Noto Sans SC"/>
                <w:b/>
                <w:color w:val="000000"/>
                <w:kern w:val="0"/>
              </w:rPr>
            </w:pPr>
          </w:p>
        </w:tc>
        <w:tc>
          <w:tcPr>
            <w:tcW w:w="1300" w:type="dxa"/>
            <w:vAlign w:val="center"/>
          </w:tcPr>
          <w:p>
            <w:pPr>
              <w:snapToGrid w:val="0"/>
              <w:spacing w:line="400" w:lineRule="exact"/>
              <w:ind w:firstLine="0" w:firstLineChars="0"/>
              <w:jc w:val="center"/>
              <w:rPr>
                <w:rFonts w:hint="eastAsia" w:cs="Noto Sans SC"/>
                <w:b/>
                <w:color w:val="000000"/>
                <w:kern w:val="0"/>
              </w:rPr>
            </w:pPr>
            <w:r>
              <w:rPr>
                <w:rFonts w:hint="eastAsia" w:cs="Noto Sans SC"/>
                <w:b/>
                <w:color w:val="000000"/>
                <w:kern w:val="0"/>
              </w:rPr>
              <w:t>模块</w:t>
            </w:r>
          </w:p>
        </w:tc>
        <w:tc>
          <w:tcPr>
            <w:tcW w:w="6042" w:type="dxa"/>
            <w:vAlign w:val="center"/>
          </w:tcPr>
          <w:p>
            <w:pPr>
              <w:snapToGrid w:val="0"/>
              <w:spacing w:line="400" w:lineRule="exact"/>
              <w:ind w:firstLine="0" w:firstLineChars="0"/>
              <w:jc w:val="center"/>
              <w:rPr>
                <w:rFonts w:hint="eastAsia" w:cs="Noto Sans SC"/>
                <w:b/>
                <w:color w:val="000000"/>
                <w:kern w:val="0"/>
              </w:rPr>
            </w:pPr>
            <w:r>
              <w:rPr>
                <w:rFonts w:hint="eastAsia" w:cs="Noto Sans SC"/>
                <w:b/>
                <w:color w:val="000000"/>
                <w:kern w:val="0"/>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Merge w:val="restart"/>
            <w:vAlign w:val="center"/>
          </w:tcPr>
          <w:p>
            <w:pPr>
              <w:snapToGrid w:val="0"/>
              <w:spacing w:line="400" w:lineRule="exact"/>
              <w:ind w:left="5" w:leftChars="-14" w:hanging="39" w:hangingChars="16"/>
              <w:rPr>
                <w:rFonts w:hint="eastAsia" w:cs="Noto Sans SC"/>
                <w:b/>
                <w:bCs/>
                <w:kern w:val="0"/>
              </w:rPr>
            </w:pPr>
            <w:r>
              <w:rPr>
                <w:rFonts w:hint="eastAsia" w:cs="Noto Sans SC"/>
                <w:b/>
                <w:bCs/>
                <w:kern w:val="0"/>
              </w:rPr>
              <w:t>大模型底座</w:t>
            </w:r>
          </w:p>
        </w:tc>
        <w:tc>
          <w:tcPr>
            <w:tcW w:w="1300" w:type="dxa"/>
            <w:vAlign w:val="center"/>
          </w:tcPr>
          <w:p>
            <w:pPr>
              <w:snapToGrid w:val="0"/>
              <w:spacing w:line="400" w:lineRule="exact"/>
              <w:ind w:left="5" w:leftChars="-14" w:hanging="39" w:hangingChars="16"/>
              <w:rPr>
                <w:rFonts w:hint="eastAsia" w:cs="Noto Sans SC"/>
                <w:b/>
                <w:bCs/>
                <w:kern w:val="0"/>
              </w:rPr>
            </w:pPr>
            <w:r>
              <w:rPr>
                <w:rFonts w:hint="eastAsia" w:cs="Noto Sans SC"/>
                <w:b/>
                <w:bCs/>
                <w:kern w:val="0"/>
              </w:rPr>
              <w:t>基座大模型</w:t>
            </w:r>
          </w:p>
        </w:tc>
        <w:tc>
          <w:tcPr>
            <w:tcW w:w="6042" w:type="dxa"/>
            <w:vAlign w:val="center"/>
          </w:tcPr>
          <w:p>
            <w:pPr>
              <w:snapToGrid w:val="0"/>
              <w:spacing w:line="400" w:lineRule="exact"/>
              <w:ind w:left="4" w:leftChars="-14" w:hanging="38" w:hangingChars="16"/>
              <w:rPr>
                <w:rFonts w:hint="eastAsia" w:cs="Noto Sans SC"/>
                <w:kern w:val="0"/>
              </w:rPr>
            </w:pPr>
            <w:r>
              <w:rPr>
                <w:rFonts w:hint="eastAsia" w:cs="Noto Sans SC"/>
                <w:kern w:val="0"/>
              </w:rPr>
              <w:t>采用国产大模型，参数不超过40B。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Merge w:val="continue"/>
            <w:vAlign w:val="center"/>
          </w:tcPr>
          <w:p>
            <w:pPr>
              <w:snapToGrid w:val="0"/>
              <w:spacing w:line="400" w:lineRule="exact"/>
              <w:ind w:left="5" w:leftChars="-14" w:hanging="39" w:hangingChars="16"/>
              <w:rPr>
                <w:rFonts w:hint="eastAsia" w:cs="Noto Sans SC"/>
                <w:b/>
                <w:bCs/>
                <w:kern w:val="0"/>
              </w:rPr>
            </w:pPr>
          </w:p>
        </w:tc>
        <w:tc>
          <w:tcPr>
            <w:tcW w:w="1300" w:type="dxa"/>
            <w:vAlign w:val="center"/>
          </w:tcPr>
          <w:p>
            <w:pPr>
              <w:snapToGrid w:val="0"/>
              <w:spacing w:line="400" w:lineRule="exact"/>
              <w:ind w:left="5" w:leftChars="-14" w:hanging="39" w:hangingChars="16"/>
              <w:rPr>
                <w:rFonts w:hint="eastAsia" w:cs="Noto Sans SC"/>
                <w:b/>
                <w:bCs/>
                <w:kern w:val="0"/>
              </w:rPr>
            </w:pPr>
            <w:r>
              <w:rPr>
                <w:rFonts w:hint="eastAsia" w:cs="Noto Sans SC"/>
                <w:b/>
                <w:bCs/>
                <w:kern w:val="0"/>
              </w:rPr>
              <w:t>私有化部署</w:t>
            </w:r>
          </w:p>
        </w:tc>
        <w:tc>
          <w:tcPr>
            <w:tcW w:w="6042" w:type="dxa"/>
            <w:vAlign w:val="center"/>
          </w:tcPr>
          <w:p>
            <w:pPr>
              <w:snapToGrid w:val="0"/>
              <w:spacing w:line="400" w:lineRule="exact"/>
              <w:ind w:left="4" w:leftChars="-14" w:hanging="38" w:hangingChars="16"/>
              <w:rPr>
                <w:rFonts w:hint="eastAsia" w:cs="Noto Sans SC"/>
                <w:kern w:val="0"/>
              </w:rPr>
            </w:pPr>
            <w:r>
              <w:rPr>
                <w:rFonts w:hint="eastAsia" w:cs="Noto Sans SC"/>
                <w:kern w:val="0"/>
              </w:rPr>
              <w:t>支持院内私有化部署。</w:t>
            </w:r>
          </w:p>
          <w:p>
            <w:pPr>
              <w:snapToGrid w:val="0"/>
              <w:spacing w:line="400" w:lineRule="exact"/>
              <w:ind w:left="4" w:leftChars="-14" w:hanging="38" w:hangingChars="16"/>
              <w:rPr>
                <w:rFonts w:hint="eastAsia" w:cs="Noto Sans SC"/>
                <w:kern w:val="0"/>
              </w:rPr>
            </w:pPr>
            <w:r>
              <w:rPr>
                <w:rFonts w:hint="eastAsia" w:cs="Noto Sans SC"/>
                <w:kern w:val="0"/>
              </w:rPr>
              <w:t>支持基于国产主流自主可控推理机进行推理计算。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 w:type="dxa"/>
            <w:vMerge w:val="continue"/>
            <w:vAlign w:val="center"/>
          </w:tcPr>
          <w:p>
            <w:pPr>
              <w:snapToGrid w:val="0"/>
              <w:spacing w:line="400" w:lineRule="exact"/>
              <w:ind w:left="5" w:leftChars="-14" w:hanging="39" w:hangingChars="16"/>
              <w:rPr>
                <w:rFonts w:hint="eastAsia" w:cs="Noto Sans SC"/>
                <w:b/>
                <w:bCs/>
                <w:kern w:val="0"/>
              </w:rPr>
            </w:pPr>
          </w:p>
        </w:tc>
        <w:tc>
          <w:tcPr>
            <w:tcW w:w="1300" w:type="dxa"/>
            <w:vAlign w:val="center"/>
          </w:tcPr>
          <w:p>
            <w:pPr>
              <w:snapToGrid w:val="0"/>
              <w:spacing w:line="400" w:lineRule="exact"/>
              <w:ind w:left="5" w:leftChars="-14" w:hanging="39" w:hangingChars="16"/>
              <w:rPr>
                <w:rFonts w:hint="eastAsia" w:cs="Noto Sans SC"/>
                <w:b/>
                <w:bCs/>
                <w:kern w:val="0"/>
              </w:rPr>
            </w:pPr>
            <w:r>
              <w:rPr>
                <w:rFonts w:hint="eastAsia" w:cs="Noto Sans SC"/>
                <w:b/>
                <w:bCs/>
                <w:kern w:val="0"/>
              </w:rPr>
              <w:t>模型微调</w:t>
            </w:r>
          </w:p>
        </w:tc>
        <w:tc>
          <w:tcPr>
            <w:tcW w:w="6042" w:type="dxa"/>
            <w:vAlign w:val="center"/>
          </w:tcPr>
          <w:p>
            <w:pPr>
              <w:snapToGrid w:val="0"/>
              <w:spacing w:line="400" w:lineRule="exact"/>
              <w:ind w:left="4" w:leftChars="-14" w:hanging="38" w:hangingChars="16"/>
              <w:rPr>
                <w:rFonts w:hint="eastAsia" w:cs="Noto Sans SC"/>
                <w:kern w:val="0"/>
              </w:rPr>
            </w:pPr>
            <w:r>
              <w:rPr>
                <w:rFonts w:hint="eastAsia" w:cs="Noto Sans SC"/>
                <w:kern w:val="0"/>
              </w:rPr>
              <w:t>1. 大模型使用循证医学知识进行知识注入。</w:t>
            </w:r>
          </w:p>
          <w:p>
            <w:pPr>
              <w:snapToGrid w:val="0"/>
              <w:spacing w:line="400" w:lineRule="exact"/>
              <w:ind w:left="4" w:leftChars="-14" w:hanging="38" w:hangingChars="16"/>
              <w:rPr>
                <w:rFonts w:hint="eastAsia" w:cs="Noto Sans SC"/>
                <w:kern w:val="0"/>
              </w:rPr>
            </w:pPr>
            <w:r>
              <w:rPr>
                <w:rFonts w:hint="eastAsia" w:cs="Noto Sans SC"/>
                <w:kern w:val="0"/>
              </w:rPr>
              <w:t>2. 将医学知识图谱注入大模型，确保大模型回答符合医学严谨性要求。</w:t>
            </w:r>
          </w:p>
          <w:p>
            <w:pPr>
              <w:snapToGrid w:val="0"/>
              <w:spacing w:line="400" w:lineRule="exact"/>
              <w:ind w:left="4" w:leftChars="-14" w:hanging="38" w:hangingChars="16"/>
              <w:rPr>
                <w:rFonts w:hint="eastAsia" w:cs="Noto Sans SC"/>
                <w:kern w:val="0"/>
              </w:rPr>
            </w:pPr>
            <w:r>
              <w:rPr>
                <w:rFonts w:hint="eastAsia" w:cs="Noto Sans SC"/>
                <w:kern w:val="0"/>
              </w:rPr>
              <w:t>3. 训练模型的数据必须且确保所采用的医学知识数据语料不会侵犯第三方知识产权。</w:t>
            </w:r>
          </w:p>
        </w:tc>
      </w:tr>
    </w:tbl>
    <w:p>
      <w:pPr>
        <w:ind w:firstLine="0" w:firstLineChars="0"/>
        <w:rPr>
          <w:rFonts w:hint="eastAsia" w:eastAsia="方正仿宋_GBK"/>
        </w:rPr>
      </w:pPr>
    </w:p>
    <w:p>
      <w:pPr>
        <w:pStyle w:val="7"/>
        <w:rPr>
          <w:rFonts w:hint="eastAsia"/>
        </w:rPr>
      </w:pPr>
      <w:r>
        <w:rPr>
          <w:rFonts w:hint="eastAsia"/>
        </w:rPr>
        <w:t>病历智能书写系统</w:t>
      </w:r>
    </w:p>
    <w:p>
      <w:pPr>
        <w:rPr>
          <w:rFonts w:cs="宋体"/>
          <w:color w:val="EE0000"/>
          <w:highlight w:val="yellow"/>
        </w:rPr>
      </w:pPr>
      <w:r>
        <w:rPr>
          <w:rFonts w:cs="宋体"/>
          <w:color w:val="EE0000"/>
          <w:highlight w:val="yellow"/>
        </w:rPr>
        <w:t>本系统本期部署于大足区人民医院院内，面向大足区人民医院病历书写要求提供独立应用能力，系统采用院内独立部署模式运行。</w:t>
      </w:r>
    </w:p>
    <w:p>
      <w:pPr>
        <w:rPr>
          <w:rFonts w:cs="宋体"/>
          <w:color w:val="EE0000"/>
          <w:highlight w:val="yellow"/>
        </w:rPr>
      </w:pPr>
      <w:r>
        <w:rPr>
          <w:rFonts w:cs="宋体"/>
          <w:color w:val="EE0000"/>
          <w:highlight w:val="yellow"/>
        </w:rPr>
        <w:t>在满足本期大足区人民医院单院使用的基础上，系统可为后续医共体建设预留扩展能力。后续如开展医共体统一应用建设，可支持将本期在大足区人民医院院内部署过程中形成的系统服务、数据配置，迁移至医共体私有云环境，并支持医共体成员医疗机构通过标准接口接入，复用统一的病历书写要求。</w:t>
      </w:r>
    </w:p>
    <w:p>
      <w:pPr>
        <w:rPr>
          <w:rFonts w:hint="eastAsia" w:cs="宋体"/>
          <w:color w:val="EE0000"/>
          <w:highlight w:val="yellow"/>
        </w:rPr>
      </w:pPr>
      <w:r>
        <w:rPr>
          <w:rFonts w:cs="宋体"/>
          <w:color w:val="EE0000"/>
          <w:highlight w:val="yellow"/>
        </w:rPr>
        <w:t xml:space="preserve">注：区域医共体成员医疗机构系统接入、私有云迁移、接口适配、数据对接及配套改造产生的相关费用不包含在本项目建设范围内，费用另行核算。 </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731"/>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gridSpan w:val="2"/>
          </w:tcPr>
          <w:p>
            <w:pPr>
              <w:snapToGrid w:val="0"/>
              <w:spacing w:line="400" w:lineRule="exact"/>
              <w:ind w:firstLine="0" w:firstLineChars="0"/>
              <w:jc w:val="center"/>
              <w:rPr>
                <w:rFonts w:hint="eastAsia" w:cs="Noto Sans SC"/>
                <w:b/>
                <w:color w:val="000000"/>
                <w:kern w:val="0"/>
              </w:rPr>
            </w:pPr>
            <w:r>
              <w:rPr>
                <w:rFonts w:hint="eastAsia" w:cs="Noto Sans SC"/>
                <w:b/>
                <w:color w:val="000000"/>
                <w:kern w:val="0"/>
              </w:rPr>
              <w:t>模块</w:t>
            </w:r>
          </w:p>
        </w:tc>
        <w:tc>
          <w:tcPr>
            <w:tcW w:w="5607" w:type="dxa"/>
            <w:vAlign w:val="center"/>
          </w:tcPr>
          <w:p>
            <w:pPr>
              <w:snapToGrid w:val="0"/>
              <w:spacing w:line="400" w:lineRule="exact"/>
              <w:ind w:firstLine="482"/>
              <w:jc w:val="center"/>
              <w:rPr>
                <w:rFonts w:hint="eastAsia" w:cs="Noto Sans SC"/>
                <w:b/>
                <w:color w:val="000000"/>
                <w:kern w:val="0"/>
              </w:rPr>
            </w:pPr>
            <w:r>
              <w:rPr>
                <w:rFonts w:hint="eastAsia" w:cs="Noto Sans SC"/>
                <w:b/>
                <w:color w:val="000000"/>
                <w:kern w:val="0"/>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restart"/>
            <w:vAlign w:val="center"/>
          </w:tcPr>
          <w:p>
            <w:pPr>
              <w:snapToGrid w:val="0"/>
              <w:spacing w:line="400" w:lineRule="exact"/>
              <w:ind w:firstLine="0" w:firstLineChars="0"/>
              <w:rPr>
                <w:rFonts w:hint="eastAsia" w:cs="Noto Sans SC"/>
                <w:b/>
                <w:bCs/>
                <w:kern w:val="0"/>
              </w:rPr>
            </w:pPr>
            <w:r>
              <w:rPr>
                <w:rFonts w:hint="eastAsia" w:cs="Noto Sans SC"/>
                <w:b/>
                <w:bCs/>
                <w:kern w:val="0"/>
              </w:rPr>
              <w:t>数据治理</w:t>
            </w:r>
          </w:p>
        </w:tc>
        <w:tc>
          <w:tcPr>
            <w:tcW w:w="1731" w:type="dxa"/>
            <w:vAlign w:val="center"/>
          </w:tcPr>
          <w:p>
            <w:pPr>
              <w:snapToGrid w:val="0"/>
              <w:spacing w:line="400" w:lineRule="exact"/>
              <w:ind w:left="5" w:leftChars="-14" w:hanging="39" w:hangingChars="16"/>
              <w:rPr>
                <w:rFonts w:hint="eastAsia" w:cs="Noto Sans SC"/>
                <w:b/>
                <w:bCs/>
                <w:kern w:val="0"/>
              </w:rPr>
            </w:pPr>
            <w:r>
              <w:rPr>
                <w:rFonts w:hint="eastAsia" w:cs="Noto Sans SC"/>
                <w:b/>
                <w:bCs/>
                <w:kern w:val="0"/>
              </w:rPr>
              <w:t>数据采集</w:t>
            </w:r>
          </w:p>
        </w:tc>
        <w:tc>
          <w:tcPr>
            <w:tcW w:w="5607" w:type="dxa"/>
            <w:vAlign w:val="center"/>
          </w:tcPr>
          <w:p>
            <w:pPr>
              <w:snapToGrid w:val="0"/>
              <w:spacing w:line="400" w:lineRule="exact"/>
              <w:ind w:firstLine="0" w:firstLineChars="0"/>
              <w:rPr>
                <w:rFonts w:hint="eastAsia" w:cs="Noto Sans SC"/>
                <w:kern w:val="0"/>
              </w:rPr>
            </w:pPr>
            <w:r>
              <w:rPr>
                <w:rFonts w:hint="eastAsia" w:cs="Noto Sans SC"/>
                <w:kern w:val="0"/>
              </w:rPr>
              <w:t>支持SQL Server、Oracle、Cache、Mysql等多种数据库接入；支持ETL方式对采集数据进行转换和抽取；支持实时及增量数据采集。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vAlign w:val="center"/>
          </w:tcPr>
          <w:p>
            <w:pPr>
              <w:snapToGrid w:val="0"/>
              <w:spacing w:line="400" w:lineRule="exact"/>
              <w:ind w:firstLine="482"/>
              <w:rPr>
                <w:rFonts w:hint="eastAsia" w:cs="Noto Sans SC"/>
                <w:b/>
                <w:bCs/>
                <w:color w:val="000000"/>
                <w:kern w:val="0"/>
              </w:rPr>
            </w:pPr>
          </w:p>
        </w:tc>
        <w:tc>
          <w:tcPr>
            <w:tcW w:w="1731" w:type="dxa"/>
            <w:vAlign w:val="center"/>
          </w:tcPr>
          <w:p>
            <w:pPr>
              <w:snapToGrid w:val="0"/>
              <w:spacing w:line="400" w:lineRule="exact"/>
              <w:ind w:left="5" w:leftChars="-14" w:hanging="39" w:hangingChars="16"/>
              <w:rPr>
                <w:rFonts w:hint="eastAsia" w:cs="Noto Sans SC"/>
                <w:b/>
                <w:bCs/>
                <w:kern w:val="0"/>
              </w:rPr>
            </w:pPr>
            <w:r>
              <w:rPr>
                <w:rFonts w:hint="eastAsia" w:cs="Noto Sans SC"/>
                <w:b/>
                <w:bCs/>
                <w:kern w:val="0"/>
              </w:rPr>
              <w:t>数据清洗</w:t>
            </w:r>
          </w:p>
        </w:tc>
        <w:tc>
          <w:tcPr>
            <w:tcW w:w="5607" w:type="dxa"/>
            <w:vAlign w:val="center"/>
          </w:tcPr>
          <w:p>
            <w:pPr>
              <w:snapToGrid w:val="0"/>
              <w:spacing w:line="400" w:lineRule="exact"/>
              <w:ind w:firstLine="0" w:firstLineChars="0"/>
              <w:rPr>
                <w:rFonts w:hint="eastAsia" w:cs="Noto Sans SC"/>
                <w:kern w:val="0"/>
              </w:rPr>
            </w:pPr>
            <w:r>
              <w:rPr>
                <w:rFonts w:hint="eastAsia" w:cs="Noto Sans SC"/>
                <w:kern w:val="0"/>
              </w:rPr>
              <w:t>支持对采集的数据进行数据质量校验，对于脏数据进行快速清洗；支持数据对比校验；支持重复值和缺失值检测和处理。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vAlign w:val="center"/>
          </w:tcPr>
          <w:p>
            <w:pPr>
              <w:snapToGrid w:val="0"/>
              <w:spacing w:line="400" w:lineRule="exact"/>
              <w:ind w:firstLine="482"/>
              <w:rPr>
                <w:rFonts w:hint="eastAsia" w:cs="Noto Sans SC"/>
                <w:b/>
                <w:bCs/>
                <w:color w:val="000000"/>
                <w:kern w:val="0"/>
              </w:rPr>
            </w:pPr>
          </w:p>
        </w:tc>
        <w:tc>
          <w:tcPr>
            <w:tcW w:w="1731" w:type="dxa"/>
            <w:vAlign w:val="center"/>
          </w:tcPr>
          <w:p>
            <w:pPr>
              <w:snapToGrid w:val="0"/>
              <w:spacing w:line="400" w:lineRule="exact"/>
              <w:ind w:left="5" w:leftChars="-14" w:hanging="39" w:hangingChars="16"/>
              <w:rPr>
                <w:rFonts w:hint="eastAsia" w:cs="Noto Sans SC"/>
                <w:b/>
                <w:bCs/>
                <w:kern w:val="0"/>
              </w:rPr>
            </w:pPr>
            <w:r>
              <w:rPr>
                <w:rFonts w:hint="eastAsia" w:cs="Noto Sans SC"/>
                <w:b/>
                <w:bCs/>
                <w:kern w:val="0"/>
              </w:rPr>
              <w:t>数据集成标准化</w:t>
            </w:r>
          </w:p>
        </w:tc>
        <w:tc>
          <w:tcPr>
            <w:tcW w:w="5607" w:type="dxa"/>
            <w:vAlign w:val="center"/>
          </w:tcPr>
          <w:p>
            <w:pPr>
              <w:snapToGrid w:val="0"/>
              <w:spacing w:line="400" w:lineRule="exact"/>
              <w:ind w:firstLine="0" w:firstLineChars="0"/>
              <w:rPr>
                <w:rFonts w:hint="eastAsia" w:cs="Noto Sans SC"/>
                <w:kern w:val="0"/>
              </w:rPr>
            </w:pPr>
            <w:r>
              <w:rPr>
                <w:rFonts w:hint="eastAsia" w:cs="Noto Sans SC"/>
                <w:kern w:val="0"/>
              </w:rPr>
              <w:t>支持不同数据来源的数据集成，如不同的数据库格式、文本文件格式、XML格式、JSON格式等，支持结构化数据、半结构化或非结构化数据。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vAlign w:val="center"/>
          </w:tcPr>
          <w:p>
            <w:pPr>
              <w:snapToGrid w:val="0"/>
              <w:spacing w:line="400" w:lineRule="exact"/>
              <w:ind w:firstLine="482"/>
              <w:rPr>
                <w:rFonts w:hint="eastAsia" w:cs="Noto Sans SC"/>
                <w:b/>
                <w:bCs/>
                <w:color w:val="000000"/>
                <w:kern w:val="0"/>
              </w:rPr>
            </w:pPr>
          </w:p>
        </w:tc>
        <w:tc>
          <w:tcPr>
            <w:tcW w:w="1731" w:type="dxa"/>
            <w:vAlign w:val="center"/>
          </w:tcPr>
          <w:p>
            <w:pPr>
              <w:snapToGrid w:val="0"/>
              <w:spacing w:line="400" w:lineRule="exact"/>
              <w:ind w:left="5" w:leftChars="-14" w:hanging="39" w:hangingChars="16"/>
              <w:rPr>
                <w:rFonts w:hint="eastAsia" w:cs="Noto Sans SC"/>
                <w:b/>
                <w:bCs/>
                <w:kern w:val="0"/>
              </w:rPr>
            </w:pPr>
            <w:r>
              <w:rPr>
                <w:rFonts w:hint="eastAsia" w:cs="Noto Sans SC"/>
                <w:b/>
                <w:bCs/>
                <w:kern w:val="0"/>
              </w:rPr>
              <w:t>后结构化数据服务</w:t>
            </w:r>
          </w:p>
        </w:tc>
        <w:tc>
          <w:tcPr>
            <w:tcW w:w="5607" w:type="dxa"/>
            <w:vAlign w:val="center"/>
          </w:tcPr>
          <w:p>
            <w:pPr>
              <w:pStyle w:val="5"/>
              <w:numPr>
                <w:ilvl w:val="0"/>
                <w:numId w:val="14"/>
              </w:numPr>
              <w:snapToGrid w:val="0"/>
              <w:spacing w:line="400" w:lineRule="exact"/>
              <w:ind w:left="0" w:firstLine="0" w:firstLineChars="0"/>
              <w:contextualSpacing w:val="0"/>
              <w:rPr>
                <w:rFonts w:hint="eastAsia" w:cs="Noto Sans SC"/>
                <w:kern w:val="0"/>
              </w:rPr>
            </w:pPr>
            <w:r>
              <w:rPr>
                <w:rFonts w:hint="eastAsia" w:cs="Noto Sans SC"/>
                <w:kern w:val="0"/>
              </w:rPr>
              <w:t>可对各类非结构化医疗文书进行后结构化处理。支持实体关联、实体抽取。</w:t>
            </w:r>
          </w:p>
          <w:p>
            <w:pPr>
              <w:pStyle w:val="5"/>
              <w:numPr>
                <w:ilvl w:val="0"/>
                <w:numId w:val="14"/>
              </w:numPr>
              <w:snapToGrid w:val="0"/>
              <w:spacing w:line="400" w:lineRule="exact"/>
              <w:ind w:left="0" w:firstLine="0" w:firstLineChars="0"/>
              <w:contextualSpacing w:val="0"/>
              <w:rPr>
                <w:rFonts w:hint="eastAsia" w:cs="Noto Sans SC"/>
                <w:kern w:val="0"/>
              </w:rPr>
            </w:pPr>
            <w:r>
              <w:rPr>
                <w:rFonts w:hint="eastAsia" w:cs="Noto Sans SC"/>
                <w:kern w:val="0"/>
              </w:rPr>
              <w:t>API视图：支持以RESTful API接口方式调用自然语言处理引擎并返回相应识别结果。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Align w:val="center"/>
          </w:tcPr>
          <w:p>
            <w:pPr>
              <w:pStyle w:val="47"/>
              <w:snapToGrid w:val="0"/>
              <w:spacing w:line="288" w:lineRule="auto"/>
              <w:ind w:firstLine="0" w:firstLineChars="0"/>
              <w:rPr>
                <w:rFonts w:hint="eastAsia" w:cs="Noto Sans SC"/>
                <w:b/>
                <w:bCs/>
                <w:kern w:val="0"/>
                <w:szCs w:val="24"/>
              </w:rPr>
            </w:pPr>
            <w:r>
              <w:rPr>
                <w:rFonts w:hint="eastAsia" w:cs="Noto Sans SC"/>
                <w:b/>
                <w:bCs/>
                <w:kern w:val="0"/>
                <w:szCs w:val="24"/>
              </w:rPr>
              <w:t>系统架构</w:t>
            </w:r>
          </w:p>
        </w:tc>
        <w:tc>
          <w:tcPr>
            <w:tcW w:w="1731" w:type="dxa"/>
            <w:vAlign w:val="center"/>
          </w:tcPr>
          <w:p>
            <w:pPr>
              <w:pStyle w:val="47"/>
              <w:snapToGrid w:val="0"/>
              <w:spacing w:line="288" w:lineRule="auto"/>
              <w:ind w:firstLine="0" w:firstLineChars="0"/>
              <w:rPr>
                <w:rFonts w:hint="eastAsia" w:cs="Noto Sans SC"/>
                <w:b/>
                <w:bCs/>
                <w:kern w:val="0"/>
                <w:szCs w:val="24"/>
              </w:rPr>
            </w:pPr>
            <w:r>
              <w:rPr>
                <w:rFonts w:hint="eastAsia" w:cs="Noto Sans SC"/>
                <w:b/>
                <w:bCs/>
                <w:kern w:val="0"/>
                <w:szCs w:val="24"/>
              </w:rPr>
              <w:t>系统架构</w:t>
            </w:r>
          </w:p>
        </w:tc>
        <w:tc>
          <w:tcPr>
            <w:tcW w:w="5607" w:type="dxa"/>
            <w:vAlign w:val="center"/>
          </w:tcPr>
          <w:p>
            <w:pPr>
              <w:pStyle w:val="47"/>
              <w:numPr>
                <w:ilvl w:val="0"/>
                <w:numId w:val="15"/>
              </w:numPr>
              <w:snapToGrid w:val="0"/>
              <w:spacing w:line="288" w:lineRule="auto"/>
              <w:ind w:firstLine="0" w:firstLineChars="0"/>
              <w:rPr>
                <w:rFonts w:hint="eastAsia" w:cs="Noto Sans SC"/>
                <w:kern w:val="0"/>
                <w:szCs w:val="24"/>
              </w:rPr>
            </w:pPr>
            <w:r>
              <w:rPr>
                <w:rFonts w:hint="eastAsia" w:cs="Noto Sans SC"/>
                <w:kern w:val="0"/>
                <w:szCs w:val="24"/>
              </w:rPr>
              <w:t>符合医疗卫生信息交换标准（如HL7），支持与各类信息系统进行标准数据交换。</w:t>
            </w:r>
          </w:p>
          <w:p>
            <w:pPr>
              <w:pStyle w:val="47"/>
              <w:numPr>
                <w:ilvl w:val="0"/>
                <w:numId w:val="15"/>
              </w:numPr>
              <w:snapToGrid w:val="0"/>
              <w:spacing w:line="288" w:lineRule="auto"/>
              <w:ind w:firstLine="0" w:firstLineChars="0"/>
              <w:rPr>
                <w:rFonts w:hint="eastAsia" w:cs="Noto Sans SC"/>
                <w:kern w:val="0"/>
                <w:szCs w:val="24"/>
              </w:rPr>
            </w:pPr>
            <w:r>
              <w:rPr>
                <w:rFonts w:hint="eastAsia" w:cs="Noto Sans SC"/>
                <w:kern w:val="0"/>
                <w:szCs w:val="24"/>
              </w:rPr>
              <w:t>支持与电子病历系统、PACS、LIS等第三方系统进行对接，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restart"/>
            <w:vAlign w:val="center"/>
          </w:tcPr>
          <w:p>
            <w:pPr>
              <w:pStyle w:val="47"/>
              <w:snapToGrid w:val="0"/>
              <w:spacing w:line="288" w:lineRule="auto"/>
              <w:ind w:firstLine="0" w:firstLineChars="0"/>
              <w:rPr>
                <w:rFonts w:hint="eastAsia" w:cs="Noto Sans SC"/>
                <w:b/>
                <w:bCs/>
                <w:kern w:val="0"/>
                <w:szCs w:val="24"/>
              </w:rPr>
            </w:pPr>
            <w:r>
              <w:rPr>
                <w:rFonts w:hint="eastAsia" w:cs="Noto Sans SC"/>
                <w:b/>
                <w:bCs/>
                <w:color w:val="000000"/>
                <w:kern w:val="0"/>
                <w:szCs w:val="24"/>
              </w:rPr>
              <w:t>门诊病历生成</w:t>
            </w:r>
          </w:p>
        </w:tc>
        <w:tc>
          <w:tcPr>
            <w:tcW w:w="1731" w:type="dxa"/>
            <w:vAlign w:val="center"/>
          </w:tcPr>
          <w:p>
            <w:pPr>
              <w:pStyle w:val="47"/>
              <w:snapToGrid w:val="0"/>
              <w:spacing w:line="288" w:lineRule="auto"/>
              <w:ind w:firstLine="0" w:firstLineChars="0"/>
              <w:rPr>
                <w:rFonts w:hint="eastAsia" w:cs="Noto Sans SC"/>
                <w:b/>
                <w:bCs/>
                <w:kern w:val="0"/>
                <w:szCs w:val="24"/>
              </w:rPr>
            </w:pPr>
            <w:r>
              <w:rPr>
                <w:rFonts w:hint="eastAsia" w:cs="Noto Sans SC"/>
                <w:b/>
                <w:bCs/>
                <w:kern w:val="0"/>
                <w:szCs w:val="24"/>
              </w:rPr>
              <w:t>交互模式</w:t>
            </w:r>
          </w:p>
        </w:tc>
        <w:tc>
          <w:tcPr>
            <w:tcW w:w="5607" w:type="dxa"/>
            <w:vAlign w:val="center"/>
          </w:tcPr>
          <w:p>
            <w:pPr>
              <w:pStyle w:val="47"/>
              <w:numPr>
                <w:ilvl w:val="0"/>
                <w:numId w:val="16"/>
              </w:numPr>
              <w:snapToGrid w:val="0"/>
              <w:spacing w:line="288" w:lineRule="auto"/>
              <w:ind w:firstLine="0" w:firstLineChars="0"/>
              <w:rPr>
                <w:rFonts w:hint="eastAsia" w:cs="Noto Sans SC"/>
                <w:kern w:val="0"/>
                <w:szCs w:val="24"/>
              </w:rPr>
            </w:pPr>
            <w:r>
              <w:rPr>
                <w:rFonts w:hint="eastAsia" w:cs="Noto Sans SC"/>
                <w:kern w:val="0"/>
                <w:szCs w:val="24"/>
              </w:rPr>
              <w:t>系统支持以按钮形式嵌入医院现有HIS门诊接诊界面。</w:t>
            </w:r>
          </w:p>
          <w:p>
            <w:pPr>
              <w:pStyle w:val="47"/>
              <w:numPr>
                <w:ilvl w:val="0"/>
                <w:numId w:val="16"/>
              </w:numPr>
              <w:snapToGrid w:val="0"/>
              <w:spacing w:line="288" w:lineRule="auto"/>
              <w:ind w:firstLine="0" w:firstLineChars="0"/>
              <w:rPr>
                <w:rFonts w:hint="eastAsia" w:cs="Noto Sans SC"/>
                <w:kern w:val="0"/>
                <w:szCs w:val="24"/>
              </w:rPr>
            </w:pPr>
            <w:r>
              <w:rPr>
                <w:rFonts w:hint="eastAsia" w:cs="Noto Sans SC"/>
                <w:kern w:val="0"/>
                <w:szCs w:val="24"/>
              </w:rPr>
              <w:t>支持“小窗模式”进行录音控制，支持“大窗模式”进行病历编辑。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kern w:val="0"/>
              </w:rPr>
              <w:t>智能语音录入</w:t>
            </w:r>
          </w:p>
        </w:tc>
        <w:tc>
          <w:tcPr>
            <w:tcW w:w="5607" w:type="dxa"/>
          </w:tcPr>
          <w:p>
            <w:pPr>
              <w:pStyle w:val="47"/>
              <w:numPr>
                <w:ilvl w:val="0"/>
                <w:numId w:val="17"/>
              </w:numPr>
              <w:snapToGrid w:val="0"/>
              <w:spacing w:line="288" w:lineRule="auto"/>
              <w:ind w:firstLine="0" w:firstLineChars="0"/>
              <w:rPr>
                <w:rFonts w:hint="eastAsia" w:cs="Noto Sans SC"/>
                <w:kern w:val="0"/>
                <w:szCs w:val="24"/>
              </w:rPr>
            </w:pPr>
            <w:r>
              <w:rPr>
                <w:rFonts w:hint="eastAsia" w:cs="Noto Sans SC"/>
                <w:kern w:val="0"/>
                <w:szCs w:val="24"/>
              </w:rPr>
              <w:t>具备高精度语音识别引擎，支持流式转写技术，实现语音实时转换为文字并动态上屏显示。</w:t>
            </w:r>
          </w:p>
          <w:p>
            <w:pPr>
              <w:pStyle w:val="47"/>
              <w:numPr>
                <w:ilvl w:val="0"/>
                <w:numId w:val="17"/>
              </w:numPr>
              <w:snapToGrid w:val="0"/>
              <w:spacing w:line="288" w:lineRule="auto"/>
              <w:ind w:firstLine="0" w:firstLineChars="0"/>
              <w:rPr>
                <w:rFonts w:hint="eastAsia" w:cs="Noto Sans SC"/>
                <w:kern w:val="0"/>
                <w:szCs w:val="24"/>
              </w:rPr>
            </w:pPr>
            <w:r>
              <w:rPr>
                <w:rFonts w:hint="eastAsia" w:cs="Noto Sans SC"/>
                <w:kern w:val="0"/>
                <w:szCs w:val="24"/>
              </w:rPr>
              <w:t>支持录音的实时开启、暂停与继续功能。</w:t>
            </w:r>
          </w:p>
          <w:p>
            <w:pPr>
              <w:pStyle w:val="47"/>
              <w:numPr>
                <w:ilvl w:val="0"/>
                <w:numId w:val="17"/>
              </w:numPr>
              <w:snapToGrid w:val="0"/>
              <w:spacing w:line="288" w:lineRule="auto"/>
              <w:ind w:firstLine="0" w:firstLineChars="0"/>
              <w:rPr>
                <w:rFonts w:hint="eastAsia" w:cs="Noto Sans SC"/>
                <w:kern w:val="0"/>
                <w:szCs w:val="24"/>
              </w:rPr>
            </w:pPr>
            <w:r>
              <w:rPr>
                <w:rFonts w:hint="eastAsia" w:cs="Noto Sans SC"/>
                <w:color w:val="000000"/>
                <w:kern w:val="0"/>
                <w:szCs w:val="24"/>
              </w:rPr>
              <w:t>▲</w:t>
            </w:r>
            <w:r>
              <w:rPr>
                <w:rFonts w:hint="eastAsia" w:cs="Noto Sans SC"/>
                <w:kern w:val="0"/>
                <w:szCs w:val="24"/>
              </w:rPr>
              <w:t>支持多段录音合并，在同一次就诊周期内多次启停录音后，系统自动将所有片段合并处理，防止数据丢失。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color w:val="000000"/>
                <w:kern w:val="0"/>
              </w:rPr>
              <w:t>硬件设备适配</w:t>
            </w:r>
          </w:p>
        </w:tc>
        <w:tc>
          <w:tcPr>
            <w:tcW w:w="5607" w:type="dxa"/>
          </w:tcPr>
          <w:p>
            <w:pPr>
              <w:snapToGrid w:val="0"/>
              <w:ind w:firstLine="0" w:firstLineChars="0"/>
              <w:rPr>
                <w:rFonts w:hint="eastAsia" w:cs="Noto Sans SC"/>
                <w:kern w:val="0"/>
              </w:rPr>
            </w:pPr>
            <w:r>
              <w:rPr>
                <w:rFonts w:hint="eastAsia" w:cs="Noto Sans SC"/>
                <w:color w:val="000000"/>
                <w:kern w:val="0"/>
              </w:rPr>
              <w:t>支持集成专业外接麦克风设备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color w:val="000000"/>
                <w:kern w:val="0"/>
              </w:rPr>
              <w:t>结构化生成</w:t>
            </w:r>
          </w:p>
        </w:tc>
        <w:tc>
          <w:tcPr>
            <w:tcW w:w="5607" w:type="dxa"/>
          </w:tcPr>
          <w:p>
            <w:pPr>
              <w:pStyle w:val="47"/>
              <w:numPr>
                <w:ilvl w:val="0"/>
                <w:numId w:val="18"/>
              </w:numPr>
              <w:snapToGrid w:val="0"/>
              <w:spacing w:line="288" w:lineRule="auto"/>
              <w:ind w:firstLine="0" w:firstLineChars="0"/>
              <w:rPr>
                <w:rFonts w:hint="eastAsia" w:cs="Noto Sans SC"/>
                <w:kern w:val="0"/>
                <w:szCs w:val="24"/>
              </w:rPr>
            </w:pPr>
            <w:r>
              <w:rPr>
                <w:rFonts w:hint="eastAsia" w:cs="Noto Sans SC"/>
                <w:kern w:val="0"/>
                <w:szCs w:val="24"/>
              </w:rPr>
              <w:t>可基于语音转写文本自动生成符合规范的结构化门诊病历内容。</w:t>
            </w:r>
          </w:p>
          <w:p>
            <w:pPr>
              <w:pStyle w:val="47"/>
              <w:numPr>
                <w:ilvl w:val="0"/>
                <w:numId w:val="18"/>
              </w:numPr>
              <w:snapToGrid w:val="0"/>
              <w:spacing w:line="288" w:lineRule="auto"/>
              <w:ind w:firstLine="0" w:firstLineChars="0"/>
              <w:rPr>
                <w:rFonts w:hint="eastAsia" w:cs="Noto Sans SC"/>
                <w:kern w:val="0"/>
                <w:szCs w:val="24"/>
              </w:rPr>
            </w:pPr>
            <w:r>
              <w:rPr>
                <w:rFonts w:hint="eastAsia" w:cs="Noto Sans SC"/>
                <w:kern w:val="0"/>
                <w:szCs w:val="24"/>
              </w:rPr>
              <w:t>生成内容需覆盖完整门诊病历章节，包括：主诉、现病史、既往史、个人史、家族史、查体、辅助检查、疑似诊断及诊疗计划。</w:t>
            </w:r>
          </w:p>
          <w:p>
            <w:pPr>
              <w:pStyle w:val="47"/>
              <w:numPr>
                <w:ilvl w:val="0"/>
                <w:numId w:val="18"/>
              </w:numPr>
              <w:snapToGrid w:val="0"/>
              <w:spacing w:line="288" w:lineRule="auto"/>
              <w:ind w:firstLine="0" w:firstLineChars="0"/>
              <w:rPr>
                <w:rFonts w:hint="eastAsia" w:cs="Noto Sans SC"/>
                <w:kern w:val="0"/>
                <w:szCs w:val="24"/>
              </w:rPr>
            </w:pPr>
            <w:r>
              <w:rPr>
                <w:rFonts w:hint="eastAsia" w:cs="Noto Sans SC"/>
                <w:kern w:val="0"/>
                <w:szCs w:val="24"/>
              </w:rPr>
              <w:t>与第三方系统对接后，可自动获取患者本次就诊的检验检查报告数据，自动整合异常检验检查结果，生成摘要内容。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color w:val="000000"/>
                <w:kern w:val="0"/>
              </w:rPr>
              <w:t>智能回放校对</w:t>
            </w:r>
          </w:p>
        </w:tc>
        <w:tc>
          <w:tcPr>
            <w:tcW w:w="5607" w:type="dxa"/>
          </w:tcPr>
          <w:p>
            <w:pPr>
              <w:pStyle w:val="47"/>
              <w:numPr>
                <w:ilvl w:val="0"/>
                <w:numId w:val="19"/>
              </w:numPr>
              <w:snapToGrid w:val="0"/>
              <w:spacing w:line="288" w:lineRule="auto"/>
              <w:ind w:firstLine="0" w:firstLineChars="0"/>
              <w:rPr>
                <w:rFonts w:hint="eastAsia" w:cs="Noto Sans SC"/>
                <w:kern w:val="0"/>
                <w:szCs w:val="24"/>
              </w:rPr>
            </w:pPr>
            <w:r>
              <w:rPr>
                <w:rFonts w:hint="eastAsia" w:cs="Noto Sans SC"/>
                <w:kern w:val="0"/>
                <w:szCs w:val="24"/>
              </w:rPr>
              <w:t>提供录音回放功能，支持通过进度条拖拽快速定位录音位置。</w:t>
            </w:r>
          </w:p>
          <w:p>
            <w:pPr>
              <w:snapToGrid w:val="0"/>
              <w:ind w:firstLine="0" w:firstLineChars="0"/>
              <w:rPr>
                <w:rFonts w:hint="eastAsia" w:cs="Noto Sans SC"/>
                <w:b/>
                <w:color w:val="000000"/>
                <w:kern w:val="0"/>
              </w:rPr>
            </w:pPr>
            <w:r>
              <w:rPr>
                <w:rFonts w:hint="eastAsia" w:cs="Noto Sans SC"/>
                <w:kern w:val="0"/>
              </w:rPr>
              <w:t>支持多倍速播放调节，满足不同语速下的听译校对需求。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color w:val="000000"/>
                <w:kern w:val="0"/>
              </w:rPr>
              <w:t>内容编辑管理</w:t>
            </w:r>
          </w:p>
        </w:tc>
        <w:tc>
          <w:tcPr>
            <w:tcW w:w="5607" w:type="dxa"/>
          </w:tcPr>
          <w:p>
            <w:pPr>
              <w:pStyle w:val="47"/>
              <w:numPr>
                <w:ilvl w:val="0"/>
                <w:numId w:val="20"/>
              </w:numPr>
              <w:snapToGrid w:val="0"/>
              <w:spacing w:line="288" w:lineRule="auto"/>
              <w:ind w:firstLine="0" w:firstLineChars="0"/>
              <w:rPr>
                <w:rFonts w:hint="eastAsia" w:cs="Noto Sans SC"/>
                <w:b/>
                <w:kern w:val="0"/>
                <w:szCs w:val="24"/>
              </w:rPr>
            </w:pPr>
            <w:r>
              <w:rPr>
                <w:rFonts w:hint="eastAsia" w:cs="Noto Sans SC"/>
                <w:kern w:val="0"/>
                <w:szCs w:val="24"/>
              </w:rPr>
              <w:t>大模型生成的病史内容支持全文本编辑。</w:t>
            </w:r>
          </w:p>
          <w:p>
            <w:pPr>
              <w:pStyle w:val="47"/>
              <w:numPr>
                <w:ilvl w:val="0"/>
                <w:numId w:val="20"/>
              </w:numPr>
              <w:snapToGrid w:val="0"/>
              <w:spacing w:line="288" w:lineRule="auto"/>
              <w:ind w:firstLine="0" w:firstLineChars="0"/>
              <w:rPr>
                <w:rFonts w:hint="eastAsia" w:cs="Noto Sans SC"/>
                <w:b/>
                <w:kern w:val="0"/>
                <w:szCs w:val="24"/>
              </w:rPr>
            </w:pPr>
            <w:r>
              <w:rPr>
                <w:rFonts w:hint="eastAsia" w:cs="Noto Sans SC"/>
                <w:kern w:val="0"/>
                <w:szCs w:val="24"/>
              </w:rPr>
              <w:t>支持保存当前编辑内容或清空重置，支持重新触发生成病史操作。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color w:val="000000"/>
                <w:kern w:val="0"/>
              </w:rPr>
              <w:t>闭环回写功能</w:t>
            </w:r>
          </w:p>
        </w:tc>
        <w:tc>
          <w:tcPr>
            <w:tcW w:w="5607" w:type="dxa"/>
          </w:tcPr>
          <w:p>
            <w:pPr>
              <w:pStyle w:val="47"/>
              <w:numPr>
                <w:ilvl w:val="0"/>
                <w:numId w:val="21"/>
              </w:numPr>
              <w:snapToGrid w:val="0"/>
              <w:spacing w:line="288" w:lineRule="auto"/>
              <w:ind w:firstLine="0" w:firstLineChars="0"/>
              <w:rPr>
                <w:rFonts w:hint="eastAsia" w:cs="Noto Sans SC"/>
                <w:b/>
                <w:kern w:val="0"/>
                <w:szCs w:val="24"/>
              </w:rPr>
            </w:pPr>
            <w:r>
              <w:rPr>
                <w:rFonts w:hint="eastAsia" w:cs="Noto Sans SC"/>
                <w:color w:val="000000"/>
                <w:kern w:val="0"/>
                <w:szCs w:val="24"/>
              </w:rPr>
              <w:t>#</w:t>
            </w:r>
            <w:r>
              <w:rPr>
                <w:rFonts w:hint="eastAsia" w:cs="Noto Sans SC"/>
                <w:kern w:val="0"/>
                <w:szCs w:val="24"/>
              </w:rPr>
              <w:t>具备“回写HIS”功能，可将最终确认的病史数据同步至医院门诊电子病历系统。</w:t>
            </w:r>
          </w:p>
          <w:p>
            <w:pPr>
              <w:pStyle w:val="47"/>
              <w:numPr>
                <w:ilvl w:val="0"/>
                <w:numId w:val="21"/>
              </w:numPr>
              <w:snapToGrid w:val="0"/>
              <w:spacing w:line="288" w:lineRule="auto"/>
              <w:ind w:firstLine="0" w:firstLineChars="0"/>
              <w:rPr>
                <w:rFonts w:hint="eastAsia" w:cs="Noto Sans SC"/>
                <w:b/>
                <w:kern w:val="0"/>
                <w:szCs w:val="24"/>
              </w:rPr>
            </w:pPr>
            <w:r>
              <w:rPr>
                <w:rFonts w:hint="eastAsia" w:cs="Noto Sans SC"/>
                <w:kern w:val="0"/>
                <w:szCs w:val="24"/>
              </w:rPr>
              <w:t>★支持“分章节选择性回写”，医生可自定义勾选需要同步的字段（如只回写现病史），避免覆盖HIS中已有数据。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color w:val="000000"/>
                <w:kern w:val="0"/>
              </w:rPr>
              <w:t>数据关联</w:t>
            </w:r>
          </w:p>
        </w:tc>
        <w:tc>
          <w:tcPr>
            <w:tcW w:w="5607" w:type="dxa"/>
            <w:vAlign w:val="center"/>
          </w:tcPr>
          <w:p>
            <w:pPr>
              <w:snapToGrid w:val="0"/>
              <w:spacing w:line="400" w:lineRule="exact"/>
              <w:ind w:firstLine="0" w:firstLineChars="0"/>
              <w:rPr>
                <w:rFonts w:hint="eastAsia" w:cs="Noto Sans SC"/>
                <w:b/>
                <w:color w:val="000000"/>
                <w:kern w:val="0"/>
              </w:rPr>
            </w:pPr>
            <w:r>
              <w:rPr>
                <w:rFonts w:hint="eastAsia" w:cs="Noto Sans SC"/>
                <w:color w:val="000000"/>
                <w:kern w:val="0"/>
              </w:rPr>
              <w:t>支持通过患者唯一就诊号与HIS系统进行上下文关联，确保录音及病历数据与当次就诊记录精确绑定。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restart"/>
          </w:tcPr>
          <w:p>
            <w:pPr>
              <w:snapToGrid w:val="0"/>
              <w:spacing w:line="400" w:lineRule="exact"/>
              <w:ind w:firstLine="0" w:firstLineChars="0"/>
              <w:rPr>
                <w:rFonts w:hint="eastAsia" w:cs="Noto Sans SC"/>
                <w:b/>
                <w:bCs/>
                <w:color w:val="000000"/>
                <w:kern w:val="0"/>
              </w:rPr>
            </w:pPr>
            <w:r>
              <w:rPr>
                <w:rFonts w:hint="eastAsia" w:cs="Noto Sans SC"/>
                <w:b/>
                <w:bCs/>
                <w:color w:val="000000"/>
                <w:kern w:val="0"/>
              </w:rPr>
              <w:t>住院病历生成</w:t>
            </w:r>
          </w:p>
        </w:tc>
        <w:tc>
          <w:tcPr>
            <w:tcW w:w="1731" w:type="dxa"/>
            <w:vMerge w:val="restart"/>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color w:val="000000"/>
                <w:kern w:val="0"/>
              </w:rPr>
              <w:t>交互模式</w:t>
            </w:r>
          </w:p>
        </w:tc>
        <w:tc>
          <w:tcPr>
            <w:tcW w:w="5607" w:type="dxa"/>
            <w:vAlign w:val="center"/>
          </w:tcPr>
          <w:p>
            <w:pPr>
              <w:snapToGrid w:val="0"/>
              <w:ind w:firstLine="0" w:firstLineChars="0"/>
              <w:rPr>
                <w:rFonts w:hint="eastAsia" w:cs="Noto Sans SC"/>
                <w:color w:val="000000"/>
                <w:kern w:val="0"/>
              </w:rPr>
            </w:pPr>
            <w:r>
              <w:rPr>
                <w:rFonts w:hint="eastAsia" w:cs="Noto Sans SC"/>
                <w:color w:val="000000"/>
                <w:kern w:val="0"/>
              </w:rPr>
              <w:t>可嵌入医院现有 HIS 住院相关界面，支持小窗录音控制、大窗病历编辑与 AI 分析结果查看；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Merge w:val="continue"/>
            <w:vAlign w:val="center"/>
          </w:tcPr>
          <w:p>
            <w:pPr>
              <w:snapToGrid w:val="0"/>
              <w:spacing w:line="400" w:lineRule="exact"/>
              <w:ind w:firstLine="0" w:firstLineChars="0"/>
              <w:jc w:val="center"/>
              <w:rPr>
                <w:rFonts w:hint="eastAsia" w:cs="Noto Sans SC"/>
                <w:b/>
                <w:bCs/>
                <w:color w:val="000000"/>
                <w:kern w:val="0"/>
              </w:rPr>
            </w:pPr>
          </w:p>
        </w:tc>
        <w:tc>
          <w:tcPr>
            <w:tcW w:w="5607" w:type="dxa"/>
            <w:vAlign w:val="center"/>
          </w:tcPr>
          <w:p>
            <w:pPr>
              <w:snapToGrid w:val="0"/>
              <w:ind w:firstLine="0" w:firstLineChars="0"/>
              <w:rPr>
                <w:rFonts w:hint="eastAsia" w:cs="Noto Sans SC"/>
                <w:color w:val="000000"/>
                <w:kern w:val="0"/>
              </w:rPr>
            </w:pPr>
            <w:r>
              <w:rPr>
                <w:rFonts w:hint="eastAsia" w:cs="Noto Sans SC"/>
                <w:color w:val="000000"/>
                <w:kern w:val="0"/>
              </w:rPr>
              <w:t>适配移动端 H5，支持企业微信授权与院内权限管控；提供患者卡片浏览、快速搜索、扫码录入等便捷操作。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color w:val="000000"/>
                <w:kern w:val="0"/>
              </w:rPr>
              <w:t>智能语音录入</w:t>
            </w:r>
          </w:p>
        </w:tc>
        <w:tc>
          <w:tcPr>
            <w:tcW w:w="5607" w:type="dxa"/>
            <w:vAlign w:val="center"/>
          </w:tcPr>
          <w:p>
            <w:pPr>
              <w:snapToGrid w:val="0"/>
              <w:ind w:firstLine="0" w:firstLineChars="0"/>
              <w:rPr>
                <w:rFonts w:hint="eastAsia" w:cs="Noto Sans SC"/>
                <w:color w:val="000000"/>
                <w:kern w:val="0"/>
              </w:rPr>
            </w:pPr>
            <w:r>
              <w:rPr>
                <w:rFonts w:hint="eastAsia" w:cs="Noto Sans SC"/>
                <w:color w:val="000000"/>
                <w:kern w:val="0"/>
              </w:rPr>
              <w:t>1. 具备高精度语音识别引擎，搭载 VAD 语音活动检测技术，支持流式转写技术，实现语音实时转换为文字并动态上屏显示，WebSocket 毫秒级延迟；</w:t>
            </w:r>
            <w:r>
              <w:rPr>
                <w:rFonts w:hint="eastAsia" w:cs="Noto Sans SC"/>
                <w:color w:val="000000"/>
                <w:kern w:val="0"/>
              </w:rPr>
              <w:br w:type="textWrapping"/>
            </w:r>
            <w:r>
              <w:rPr>
                <w:rFonts w:hint="eastAsia" w:cs="Noto Sans SC"/>
                <w:color w:val="000000"/>
                <w:kern w:val="0"/>
              </w:rPr>
              <w:t>2. 支持录音的实时开启、暂停与继续功能，适配查房、手术中碎片化口述场景；</w:t>
            </w:r>
            <w:r>
              <w:rPr>
                <w:rFonts w:hint="eastAsia" w:cs="Noto Sans SC"/>
                <w:color w:val="000000"/>
                <w:kern w:val="0"/>
              </w:rPr>
              <w:br w:type="textWrapping"/>
            </w:r>
            <w:r>
              <w:rPr>
                <w:rFonts w:hint="eastAsia" w:cs="Noto Sans SC"/>
                <w:color w:val="000000"/>
                <w:kern w:val="0"/>
              </w:rPr>
              <w:t>3. ▲支持多段录音合并，在同一次住院周期内多次启停录音后，系统自动将所有片段合并处理，防止数据丢失；</w:t>
            </w:r>
            <w:r>
              <w:rPr>
                <w:rFonts w:hint="eastAsia" w:cs="Noto Sans SC"/>
                <w:color w:val="000000"/>
                <w:kern w:val="0"/>
              </w:rPr>
              <w:br w:type="textWrapping"/>
            </w:r>
            <w:r>
              <w:rPr>
                <w:rFonts w:hint="eastAsia" w:cs="Noto Sans SC"/>
                <w:color w:val="000000"/>
                <w:kern w:val="0"/>
              </w:rPr>
              <w:t>4. 中文医疗场景专项优化，保障医学术语识别准确率。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color w:val="000000"/>
                <w:kern w:val="0"/>
              </w:rPr>
              <w:t>硬件设备适配</w:t>
            </w:r>
          </w:p>
        </w:tc>
        <w:tc>
          <w:tcPr>
            <w:tcW w:w="5607" w:type="dxa"/>
            <w:vAlign w:val="center"/>
          </w:tcPr>
          <w:p>
            <w:pPr>
              <w:snapToGrid w:val="0"/>
              <w:ind w:firstLine="0" w:firstLineChars="0"/>
              <w:rPr>
                <w:rFonts w:hint="eastAsia" w:cs="Noto Sans SC"/>
                <w:color w:val="000000"/>
                <w:kern w:val="0"/>
              </w:rPr>
            </w:pPr>
            <w:r>
              <w:rPr>
                <w:rFonts w:hint="eastAsia" w:cs="Noto Sans SC"/>
                <w:color w:val="000000"/>
                <w:kern w:val="0"/>
              </w:rPr>
              <w:t>支持集成专业外接麦克风设备，适配病房、手术室等住院诊疗场景硬件使用需求。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color w:val="000000"/>
                <w:kern w:val="0"/>
              </w:rPr>
              <w:t>结构化生成</w:t>
            </w:r>
          </w:p>
        </w:tc>
        <w:tc>
          <w:tcPr>
            <w:tcW w:w="5607" w:type="dxa"/>
            <w:vAlign w:val="center"/>
          </w:tcPr>
          <w:p>
            <w:pPr>
              <w:snapToGrid w:val="0"/>
              <w:ind w:firstLine="0" w:firstLineChars="0"/>
              <w:rPr>
                <w:rFonts w:hint="eastAsia" w:cs="Noto Sans SC"/>
                <w:color w:val="000000"/>
                <w:kern w:val="0"/>
              </w:rPr>
            </w:pPr>
            <w:r>
              <w:rPr>
                <w:rFonts w:hint="eastAsia" w:cs="Noto Sans SC"/>
                <w:color w:val="000000"/>
                <w:kern w:val="0"/>
              </w:rPr>
              <w:t>1. 可基于语音转写文本自动生成符合医院规范的结构化住院病历内容，覆盖7大类住院病历模板；</w:t>
            </w:r>
            <w:r>
              <w:rPr>
                <w:rFonts w:hint="eastAsia" w:cs="Noto Sans SC"/>
                <w:color w:val="000000"/>
                <w:kern w:val="0"/>
              </w:rPr>
              <w:br w:type="textWrapping"/>
            </w:r>
            <w:r>
              <w:rPr>
                <w:rFonts w:hint="eastAsia" w:cs="Noto Sans SC"/>
                <w:color w:val="000000"/>
                <w:kern w:val="0"/>
              </w:rPr>
              <w:t>2. 生成内容覆盖完整住院病历章节，含手术记录、入院/首程、病程记录、会诊记录、谈话记录、死亡病例讨论，其病程记录含上级医生查房、日常查房、抢救记录、术前/术后主刀查房等；</w:t>
            </w:r>
            <w:r>
              <w:rPr>
                <w:rFonts w:hint="eastAsia" w:cs="Noto Sans SC"/>
                <w:color w:val="000000"/>
                <w:kern w:val="0"/>
              </w:rPr>
              <w:br w:type="textWrapping"/>
            </w:r>
            <w:r>
              <w:rPr>
                <w:rFonts w:hint="eastAsia" w:cs="Noto Sans SC"/>
                <w:color w:val="000000"/>
                <w:kern w:val="0"/>
              </w:rPr>
              <w:t>3. 与第三方系统对接后，可自动获取患者本次住院的检验检查报告、用药记录、既往病史等数据，自动整合异常检验检查结果，生成摘要内容；</w:t>
            </w:r>
            <w:r>
              <w:rPr>
                <w:rFonts w:hint="eastAsia" w:cs="Noto Sans SC"/>
                <w:color w:val="000000"/>
                <w:kern w:val="0"/>
              </w:rPr>
              <w:br w:type="textWrapping"/>
            </w:r>
            <w:r>
              <w:rPr>
                <w:rFonts w:hint="eastAsia" w:cs="Noto Sans SC"/>
                <w:color w:val="000000"/>
                <w:kern w:val="0"/>
              </w:rPr>
              <w:t>4. 具备AI智能提取能力，从口述中自动提取主诉、现病史、既往史等核心字段，辅助推断诊断（供医生确认），整理并规范治疗方案 / 医嘱格式；</w:t>
            </w:r>
            <w:r>
              <w:rPr>
                <w:rFonts w:hint="eastAsia" w:cs="Noto Sans SC"/>
                <w:color w:val="000000"/>
                <w:kern w:val="0"/>
              </w:rPr>
              <w:br w:type="textWrapping"/>
            </w:r>
            <w:r>
              <w:rPr>
                <w:rFonts w:hint="eastAsia" w:cs="Noto Sans SC"/>
                <w:color w:val="000000"/>
                <w:kern w:val="0"/>
              </w:rPr>
              <w:t>5. 支持SSE流式生成病历，后端逐帧转发数据，实现生成过程实时展示。</w:t>
            </w:r>
          </w:p>
          <w:p>
            <w:pPr>
              <w:snapToGrid w:val="0"/>
              <w:ind w:firstLine="0" w:firstLineChars="0"/>
              <w:rPr>
                <w:rFonts w:hint="eastAsia" w:cs="Noto Sans SC"/>
                <w:color w:val="000000"/>
                <w:kern w:val="0"/>
              </w:rPr>
            </w:pPr>
            <w:r>
              <w:rPr>
                <w:rFonts w:hint="eastAsia" w:cs="Noto Sans SC"/>
                <w:color w:val="000000"/>
                <w:kern w:val="0"/>
              </w:rPr>
              <w:t>6. ▲支持跨时段录音智能合并，系统可自动整合非连续时间的碎片化语音数据，统一生成完整的结构化病历。</w:t>
            </w:r>
          </w:p>
          <w:p>
            <w:pPr>
              <w:snapToGrid w:val="0"/>
              <w:ind w:firstLine="0" w:firstLineChars="0"/>
              <w:rPr>
                <w:rFonts w:hint="eastAsia" w:cs="Noto Sans SC"/>
                <w:color w:val="000000"/>
                <w:kern w:val="0"/>
              </w:rPr>
            </w:pPr>
            <w:r>
              <w:rPr>
                <w:rFonts w:hint="eastAsia" w:cs="Noto Sans SC"/>
                <w:color w:val="000000"/>
                <w:kern w:val="0"/>
              </w:rPr>
              <w:t>7. ▲支持录音源头绑定与多文书同步生成。单次语音输入可关联复用于多类病历（如主治医生查房记录、主任医生查房记录都可以绑定查房记录语音内容），实现一次录音、多份病历同步提取与更新。</w:t>
            </w:r>
          </w:p>
          <w:p>
            <w:pPr>
              <w:snapToGrid w:val="0"/>
              <w:ind w:firstLine="0" w:firstLineChars="0"/>
              <w:rPr>
                <w:rFonts w:hint="eastAsia" w:cs="Noto Sans SC"/>
                <w:color w:val="000000"/>
                <w:kern w:val="0"/>
              </w:rPr>
            </w:pPr>
            <w:r>
              <w:rPr>
                <w:rFonts w:hint="eastAsia" w:cs="Noto Sans SC"/>
                <w:color w:val="000000"/>
                <w:kern w:val="0"/>
              </w:rPr>
              <w:t>8.支持无患者录入，系统可基于语义分析自动提取语音中的患者特征信息。</w:t>
            </w:r>
          </w:p>
          <w:p>
            <w:pPr>
              <w:snapToGrid w:val="0"/>
              <w:ind w:firstLine="0" w:firstLineChars="0"/>
              <w:rPr>
                <w:rFonts w:hint="eastAsia" w:cs="Noto Sans SC"/>
                <w:color w:val="000000"/>
                <w:kern w:val="0"/>
              </w:rPr>
            </w:pPr>
            <w:r>
              <w:rPr>
                <w:rFonts w:hint="eastAsia" w:cs="Noto Sans SC"/>
                <w:color w:val="000000"/>
                <w:kern w:val="0"/>
              </w:rPr>
              <w:t>9. ▲具备会话式内涵质控与动态补全功能。系统可自动校验病历核心信息的完整性，针对缺失项发起流式交互提示，支持医生通过自然语言对话快速完成病历内容的补充完善。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kern w:val="0"/>
              </w:rPr>
              <w:t>★</w:t>
            </w:r>
            <w:r>
              <w:rPr>
                <w:rFonts w:hint="eastAsia" w:cs="Noto Sans SC"/>
                <w:b/>
                <w:bCs/>
                <w:color w:val="000000"/>
                <w:kern w:val="0"/>
              </w:rPr>
              <w:t>AI 临床分析</w:t>
            </w:r>
          </w:p>
        </w:tc>
        <w:tc>
          <w:tcPr>
            <w:tcW w:w="5607" w:type="dxa"/>
            <w:vAlign w:val="center"/>
          </w:tcPr>
          <w:p>
            <w:pPr>
              <w:pStyle w:val="20"/>
              <w:widowControl/>
              <w:snapToGrid w:val="0"/>
              <w:spacing w:beforeAutospacing="0" w:afterAutospacing="0"/>
              <w:ind w:firstLine="0" w:firstLineChars="0"/>
              <w:jc w:val="both"/>
              <w:rPr>
                <w:rFonts w:hint="eastAsia" w:ascii="宋体" w:hAnsi="宋体" w:eastAsia="宋体" w:cs="Noto Sans SC"/>
                <w:color w:val="000000"/>
              </w:rPr>
            </w:pPr>
            <w:r>
              <w:rPr>
                <w:rFonts w:hint="eastAsia" w:ascii="宋体" w:hAnsi="宋体" w:eastAsia="宋体" w:cs="Noto Sans SC"/>
                <w:color w:val="000000"/>
              </w:rPr>
              <w:t>1. 搭载 AI 分析超级智能体，自动读取患者住院病历、检验检查、既往史、现病史、诊断信息等全维度数据，通过大模型进行智能评估；</w:t>
            </w:r>
            <w:r>
              <w:rPr>
                <w:rFonts w:hint="eastAsia" w:ascii="宋体" w:hAnsi="宋体" w:eastAsia="宋体" w:cs="Noto Sans SC"/>
                <w:color w:val="000000"/>
              </w:rPr>
              <w:br w:type="textWrapping"/>
            </w:r>
            <w:r>
              <w:rPr>
                <w:rFonts w:hint="eastAsia" w:ascii="宋体" w:hAnsi="宋体" w:eastAsia="宋体" w:cs="Noto Sans SC"/>
                <w:color w:val="000000"/>
              </w:rPr>
              <w:t>2. 支持 11 项术前风险预警，含心血管、呼吸系统、肝功能、肾功能、凝血功能、血糖控制、营养状态、感染、麻醉、血栓、过敏风险，按高中低风险标注并高亮提醒；</w:t>
            </w:r>
            <w:r>
              <w:rPr>
                <w:rFonts w:hint="eastAsia" w:ascii="宋体" w:hAnsi="宋体" w:eastAsia="宋体" w:cs="Noto Sans SC"/>
                <w:color w:val="000000"/>
              </w:rPr>
              <w:br w:type="textWrapping"/>
            </w:r>
            <w:r>
              <w:rPr>
                <w:rFonts w:hint="eastAsia" w:ascii="宋体" w:hAnsi="宋体" w:eastAsia="宋体" w:cs="Noto Sans SC"/>
                <w:color w:val="000000"/>
              </w:rPr>
              <w:t>3. 输出用药风险提醒、并发症风险提示及临床注意事项建议，预警项目支持持续迭代增加；</w:t>
            </w:r>
            <w:r>
              <w:rPr>
                <w:rFonts w:hint="eastAsia" w:ascii="宋体" w:hAnsi="宋体" w:eastAsia="宋体" w:cs="Noto Sans SC"/>
                <w:color w:val="000000"/>
              </w:rPr>
              <w:br w:type="textWrapping"/>
            </w:r>
            <w:r>
              <w:rPr>
                <w:rFonts w:hint="eastAsia" w:ascii="宋体" w:hAnsi="宋体" w:eastAsia="宋体" w:cs="Noto Sans SC"/>
                <w:color w:val="000000"/>
              </w:rPr>
              <w:t>4. 支持大模型解读风险评估结果，为临床决策提供专业参考依据。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color w:val="000000"/>
                <w:kern w:val="0"/>
              </w:rPr>
              <w:t>录音回放校对</w:t>
            </w:r>
          </w:p>
        </w:tc>
        <w:tc>
          <w:tcPr>
            <w:tcW w:w="5607" w:type="dxa"/>
            <w:vAlign w:val="center"/>
          </w:tcPr>
          <w:p>
            <w:pPr>
              <w:snapToGrid w:val="0"/>
              <w:ind w:firstLine="0" w:firstLineChars="0"/>
              <w:rPr>
                <w:rFonts w:hint="eastAsia" w:cs="Noto Sans SC"/>
                <w:color w:val="000000"/>
                <w:kern w:val="0"/>
              </w:rPr>
            </w:pPr>
            <w:r>
              <w:rPr>
                <w:rFonts w:hint="eastAsia" w:cs="Noto Sans SC"/>
                <w:color w:val="000000"/>
                <w:kern w:val="0"/>
              </w:rPr>
              <w:t>1. 提供录音回放功能，支持通过进度条拖拽快速定位录音位置，适配住院病历多片段口述的校对需求；</w:t>
            </w:r>
            <w:r>
              <w:rPr>
                <w:rFonts w:hint="eastAsia" w:cs="Noto Sans SC"/>
                <w:color w:val="000000"/>
                <w:kern w:val="0"/>
              </w:rPr>
              <w:br w:type="textWrapping"/>
            </w:r>
            <w:r>
              <w:rPr>
                <w:rFonts w:hint="eastAsia" w:cs="Noto Sans SC"/>
                <w:color w:val="000000"/>
                <w:kern w:val="0"/>
              </w:rPr>
              <w:t>2. 支持多倍速播放调节，满足不同语速下的听译校对需求；</w:t>
            </w:r>
            <w:r>
              <w:rPr>
                <w:rFonts w:hint="eastAsia" w:cs="Noto Sans SC"/>
                <w:color w:val="000000"/>
                <w:kern w:val="0"/>
              </w:rPr>
              <w:br w:type="textWrapping"/>
            </w:r>
            <w:r>
              <w:rPr>
                <w:rFonts w:hint="eastAsia" w:cs="Noto Sans SC"/>
                <w:color w:val="000000"/>
                <w:kern w:val="0"/>
              </w:rPr>
              <w:t>3. 录音与生成的病历文本精准关联，可通过文本定位对应录音片段，提升校对效率。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color w:val="000000"/>
                <w:kern w:val="0"/>
              </w:rPr>
              <w:t>内容编辑管理</w:t>
            </w:r>
          </w:p>
        </w:tc>
        <w:tc>
          <w:tcPr>
            <w:tcW w:w="5607" w:type="dxa"/>
            <w:vAlign w:val="center"/>
          </w:tcPr>
          <w:p>
            <w:pPr>
              <w:snapToGrid w:val="0"/>
              <w:ind w:firstLine="0" w:firstLineChars="0"/>
              <w:rPr>
                <w:rFonts w:hint="eastAsia" w:cs="Noto Sans SC"/>
                <w:color w:val="000000"/>
                <w:kern w:val="0"/>
              </w:rPr>
            </w:pPr>
            <w:r>
              <w:rPr>
                <w:rFonts w:hint="eastAsia" w:cs="Noto Sans SC"/>
                <w:color w:val="000000"/>
                <w:kern w:val="0"/>
              </w:rPr>
              <w:t>1. 大模型生成的住院病史内容支持全文本编辑，可针对病程、手术细节等进行个性化修改；</w:t>
            </w:r>
            <w:r>
              <w:rPr>
                <w:rFonts w:hint="eastAsia" w:cs="Noto Sans SC"/>
                <w:color w:val="000000"/>
                <w:kern w:val="0"/>
              </w:rPr>
              <w:br w:type="textWrapping"/>
            </w:r>
            <w:r>
              <w:rPr>
                <w:rFonts w:hint="eastAsia" w:cs="Noto Sans SC"/>
                <w:color w:val="000000"/>
                <w:kern w:val="0"/>
              </w:rPr>
              <w:t>2. 支持保存当前编辑内容或清空重置，支持重新触发生成病史操作，编辑后可更新病历草稿并标记状态；</w:t>
            </w:r>
            <w:r>
              <w:rPr>
                <w:rFonts w:hint="eastAsia" w:cs="Noto Sans SC"/>
                <w:color w:val="000000"/>
                <w:kern w:val="0"/>
              </w:rPr>
              <w:br w:type="textWrapping"/>
            </w:r>
            <w:r>
              <w:rPr>
                <w:rFonts w:hint="eastAsia" w:cs="Noto Sans SC"/>
                <w:color w:val="000000"/>
                <w:kern w:val="0"/>
              </w:rPr>
              <w:t>3. 提供病历草稿、已完成、已归档的状态流转管理，全程可追溯；</w:t>
            </w:r>
            <w:r>
              <w:rPr>
                <w:rFonts w:hint="eastAsia" w:cs="Noto Sans SC"/>
                <w:color w:val="000000"/>
                <w:kern w:val="0"/>
              </w:rPr>
              <w:br w:type="textWrapping"/>
            </w:r>
            <w:r>
              <w:rPr>
                <w:rFonts w:hint="eastAsia" w:cs="Noto Sans SC"/>
                <w:color w:val="000000"/>
                <w:kern w:val="0"/>
              </w:rPr>
              <w:t>4. 支持病历续写、打印功能；</w:t>
            </w:r>
            <w:r>
              <w:rPr>
                <w:rFonts w:hint="eastAsia" w:cs="Noto Sans SC"/>
                <w:color w:val="000000"/>
                <w:kern w:val="0"/>
              </w:rPr>
              <w:br w:type="textWrapping"/>
            </w:r>
            <w:r>
              <w:rPr>
                <w:rFonts w:hint="eastAsia" w:cs="Noto Sans SC"/>
                <w:color w:val="000000"/>
                <w:kern w:val="0"/>
              </w:rPr>
              <w:t>5. 支持医生自定义默认病历模板，一次配置长期生效，无需每次手动选择。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color w:val="000000"/>
                <w:kern w:val="0"/>
              </w:rPr>
              <w:t>闭环回写功能</w:t>
            </w:r>
          </w:p>
        </w:tc>
        <w:tc>
          <w:tcPr>
            <w:tcW w:w="5607" w:type="dxa"/>
            <w:vAlign w:val="center"/>
          </w:tcPr>
          <w:p>
            <w:pPr>
              <w:snapToGrid w:val="0"/>
              <w:ind w:firstLine="0" w:firstLineChars="0"/>
              <w:rPr>
                <w:rFonts w:hint="eastAsia" w:cs="Noto Sans SC"/>
                <w:color w:val="000000"/>
                <w:kern w:val="0"/>
              </w:rPr>
            </w:pPr>
            <w:r>
              <w:rPr>
                <w:rFonts w:hint="eastAsia" w:cs="Noto Sans SC"/>
                <w:color w:val="000000"/>
                <w:kern w:val="0"/>
              </w:rPr>
              <w:t>1. #具备 “回写 HIS” 功能，可将最终确认的住院病史数据同步至医院住院电子病历系统；</w:t>
            </w:r>
          </w:p>
          <w:p>
            <w:pPr>
              <w:snapToGrid w:val="0"/>
              <w:ind w:firstLine="0" w:firstLineChars="0"/>
              <w:rPr>
                <w:rFonts w:hint="eastAsia" w:cs="Noto Sans SC"/>
                <w:color w:val="000000"/>
                <w:kern w:val="0"/>
              </w:rPr>
            </w:pPr>
            <w:r>
              <w:rPr>
                <w:rFonts w:hint="eastAsia" w:cs="Noto Sans SC"/>
                <w:color w:val="000000"/>
                <w:kern w:val="0"/>
              </w:rPr>
              <w:t>2. 支持 “分章节选择性回写”，医生可自定义勾选需要同步的字段（如只回写手术记录、病程记录），避免覆盖 HIS 中已有数据；</w:t>
            </w:r>
            <w:r>
              <w:rPr>
                <w:rFonts w:hint="eastAsia" w:cs="Noto Sans SC"/>
                <w:color w:val="000000"/>
                <w:kern w:val="0"/>
              </w:rPr>
              <w:br w:type="textWrapping"/>
            </w:r>
            <w:r>
              <w:rPr>
                <w:rFonts w:hint="eastAsia" w:cs="Noto Sans SC"/>
                <w:color w:val="000000"/>
                <w:kern w:val="0"/>
              </w:rPr>
              <w:t>3. 回写数据为结构化格式，与医院电子病历系统字段精准匹配，保障数据一致性。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color w:val="000000"/>
                <w:kern w:val="0"/>
              </w:rPr>
              <w:t>数据关联</w:t>
            </w:r>
          </w:p>
        </w:tc>
        <w:tc>
          <w:tcPr>
            <w:tcW w:w="5607" w:type="dxa"/>
            <w:vAlign w:val="center"/>
          </w:tcPr>
          <w:p>
            <w:pPr>
              <w:snapToGrid w:val="0"/>
              <w:ind w:firstLine="0" w:firstLineChars="0"/>
              <w:rPr>
                <w:rFonts w:hint="eastAsia" w:cs="Noto Sans SC"/>
                <w:color w:val="000000"/>
                <w:kern w:val="0"/>
              </w:rPr>
            </w:pPr>
            <w:r>
              <w:rPr>
                <w:rFonts w:hint="eastAsia" w:cs="Noto Sans SC"/>
                <w:color w:val="000000"/>
                <w:kern w:val="0"/>
              </w:rPr>
              <w:t>1. 支持通过患者唯一就诊号/住院号与 HIS 住院系统进行上下文关联，确保录音及病历数据与当次住院记录精确绑定；</w:t>
            </w:r>
            <w:r>
              <w:rPr>
                <w:rFonts w:hint="eastAsia" w:cs="Noto Sans SC"/>
                <w:color w:val="000000"/>
                <w:kern w:val="0"/>
              </w:rPr>
              <w:br w:type="textWrapping"/>
            </w:r>
            <w:r>
              <w:rPr>
                <w:rFonts w:hint="eastAsia" w:cs="Noto Sans SC"/>
                <w:color w:val="000000"/>
                <w:kern w:val="0"/>
              </w:rPr>
              <w:t>2. 实现住院患者数据全维度联动，病历生成时自动关联患者基本信息、诊疗数据、检查检验结果，无需医生手动录入。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color w:val="000000"/>
                <w:kern w:val="0"/>
              </w:rPr>
              <w:t>患者管理</w:t>
            </w:r>
          </w:p>
        </w:tc>
        <w:tc>
          <w:tcPr>
            <w:tcW w:w="5607" w:type="dxa"/>
            <w:vAlign w:val="center"/>
          </w:tcPr>
          <w:p>
            <w:pPr>
              <w:snapToGrid w:val="0"/>
              <w:ind w:firstLine="0" w:firstLineChars="0"/>
              <w:rPr>
                <w:rFonts w:hint="eastAsia" w:cs="Noto Sans SC"/>
                <w:color w:val="000000"/>
                <w:kern w:val="0"/>
              </w:rPr>
            </w:pPr>
            <w:r>
              <w:rPr>
                <w:rFonts w:hint="eastAsia" w:cs="Noto Sans SC"/>
                <w:color w:val="000000"/>
                <w:kern w:val="0"/>
              </w:rPr>
              <w:t>1. 展示医生负责的所有住院患者列表，支持卡片式浏览；</w:t>
            </w:r>
            <w:r>
              <w:rPr>
                <w:rFonts w:hint="eastAsia" w:cs="Noto Sans SC"/>
                <w:color w:val="000000"/>
                <w:kern w:val="0"/>
              </w:rPr>
              <w:br w:type="textWrapping"/>
            </w:r>
            <w:r>
              <w:rPr>
                <w:rFonts w:hint="eastAsia" w:cs="Noto Sans SC"/>
                <w:color w:val="000000"/>
                <w:kern w:val="0"/>
              </w:rPr>
              <w:t>2. 集成 AI 分析、病历草稿、随访任务三合一的患者详情页；</w:t>
            </w:r>
            <w:r>
              <w:rPr>
                <w:rFonts w:hint="eastAsia" w:cs="Noto Sans SC"/>
                <w:color w:val="000000"/>
                <w:kern w:val="0"/>
              </w:rPr>
              <w:br w:type="textWrapping"/>
            </w:r>
            <w:r>
              <w:rPr>
                <w:rFonts w:hint="eastAsia" w:cs="Noto Sans SC"/>
                <w:color w:val="000000"/>
                <w:kern w:val="0"/>
              </w:rPr>
              <w:t>3. 支持按姓名、住院号、床号快速搜索定位患者；</w:t>
            </w:r>
            <w:r>
              <w:rPr>
                <w:rFonts w:hint="eastAsia" w:cs="Noto Sans SC"/>
                <w:color w:val="000000"/>
                <w:kern w:val="0"/>
              </w:rPr>
              <w:br w:type="textWrapping"/>
            </w:r>
            <w:r>
              <w:rPr>
                <w:rFonts w:hint="eastAsia" w:cs="Noto Sans SC"/>
                <w:color w:val="000000"/>
                <w:kern w:val="0"/>
              </w:rPr>
              <w:t>4. 支持扫描病案号条码一键添加患者，秒级完成患者关联；</w:t>
            </w:r>
            <w:r>
              <w:rPr>
                <w:rFonts w:hint="eastAsia" w:cs="Noto Sans SC"/>
                <w:color w:val="000000"/>
                <w:kern w:val="0"/>
              </w:rPr>
              <w:br w:type="textWrapping"/>
            </w:r>
            <w:r>
              <w:rPr>
                <w:rFonts w:hint="eastAsia" w:cs="Noto Sans SC"/>
                <w:color w:val="000000"/>
                <w:kern w:val="0"/>
              </w:rPr>
              <w:t>5. 可按入院时间、科室、病情等维度对住院患者进行分类筛选。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vMerge w:val="continue"/>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r>
              <w:rPr>
                <w:rFonts w:hint="eastAsia" w:cs="Noto Sans SC"/>
                <w:b/>
                <w:bCs/>
                <w:color w:val="000000"/>
                <w:kern w:val="0"/>
              </w:rPr>
              <w:t>病历管理</w:t>
            </w:r>
          </w:p>
        </w:tc>
        <w:tc>
          <w:tcPr>
            <w:tcW w:w="5607" w:type="dxa"/>
            <w:vAlign w:val="center"/>
          </w:tcPr>
          <w:p>
            <w:pPr>
              <w:snapToGrid w:val="0"/>
              <w:ind w:firstLine="0" w:firstLineChars="0"/>
              <w:rPr>
                <w:rFonts w:hint="eastAsia" w:cs="Noto Sans SC"/>
                <w:color w:val="000000"/>
                <w:kern w:val="0"/>
              </w:rPr>
            </w:pPr>
            <w:r>
              <w:rPr>
                <w:rFonts w:hint="eastAsia" w:cs="Noto Sans SC"/>
                <w:color w:val="000000"/>
                <w:kern w:val="0"/>
              </w:rPr>
              <w:t>1. 提供住院病历全量列表，支持按病历类型、生成日期、状态（草稿 / 已完成 / 已归档）多维度筛选；</w:t>
            </w:r>
            <w:r>
              <w:rPr>
                <w:rFonts w:hint="eastAsia" w:cs="Noto Sans SC"/>
                <w:color w:val="000000"/>
                <w:kern w:val="0"/>
              </w:rPr>
              <w:br w:type="textWrapping"/>
            </w:r>
            <w:r>
              <w:rPr>
                <w:rFonts w:hint="eastAsia" w:cs="Noto Sans SC"/>
                <w:color w:val="000000"/>
                <w:kern w:val="0"/>
              </w:rPr>
              <w:t>2. 提供日历视图，直观展示各日期的病历记录情况，方便医生追溯诊疗过程；</w:t>
            </w:r>
            <w:r>
              <w:rPr>
                <w:rFonts w:hint="eastAsia" w:cs="Noto Sans SC"/>
                <w:color w:val="000000"/>
                <w:kern w:val="0"/>
              </w:rPr>
              <w:br w:type="textWrapping"/>
            </w:r>
            <w:r>
              <w:rPr>
                <w:rFonts w:hint="eastAsia" w:cs="Noto Sans SC"/>
                <w:color w:val="000000"/>
                <w:kern w:val="0"/>
              </w:rPr>
              <w:t>3. 病历草稿自动落库保存，支持跨设备查看、编辑，防止数据丢失；</w:t>
            </w:r>
            <w:r>
              <w:rPr>
                <w:rFonts w:hint="eastAsia" w:cs="Noto Sans SC"/>
                <w:color w:val="000000"/>
                <w:kern w:val="0"/>
              </w:rPr>
              <w:br w:type="textWrapping"/>
            </w:r>
            <w:r>
              <w:rPr>
                <w:rFonts w:hint="eastAsia" w:cs="Noto Sans SC"/>
                <w:color w:val="000000"/>
                <w:kern w:val="0"/>
              </w:rPr>
              <w:t>4. 记录病历生成、编辑、回写、归档的全流程操作日志，满足医疗数据溯源及合规要求。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p>
        </w:tc>
        <w:tc>
          <w:tcPr>
            <w:tcW w:w="5607" w:type="dxa"/>
            <w:vAlign w:val="center"/>
          </w:tcPr>
          <w:p>
            <w:pPr>
              <w:snapToGrid w:val="0"/>
              <w:ind w:firstLine="0" w:firstLineChars="0"/>
              <w:rPr>
                <w:rFonts w:hint="eastAsia" w:cs="Noto Sans SC"/>
                <w:color w:val="000000"/>
                <w:kern w:val="0"/>
              </w:rPr>
            </w:pPr>
            <w:r>
              <w:rPr>
                <w:rFonts w:hint="eastAsia" w:cs="Noto Sans SC"/>
                <w:color w:val="000000"/>
                <w:kern w:val="0"/>
              </w:rPr>
              <w:t>满足区域医共体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Pr>
          <w:p>
            <w:pPr>
              <w:snapToGrid w:val="0"/>
              <w:spacing w:line="400" w:lineRule="exact"/>
              <w:ind w:firstLine="482"/>
              <w:jc w:val="center"/>
              <w:rPr>
                <w:rFonts w:hint="eastAsia" w:cs="Noto Sans SC"/>
                <w:b/>
                <w:bCs/>
                <w:color w:val="000000"/>
                <w:kern w:val="0"/>
              </w:rPr>
            </w:pPr>
          </w:p>
        </w:tc>
        <w:tc>
          <w:tcPr>
            <w:tcW w:w="1731" w:type="dxa"/>
            <w:vAlign w:val="center"/>
          </w:tcPr>
          <w:p>
            <w:pPr>
              <w:snapToGrid w:val="0"/>
              <w:spacing w:line="400" w:lineRule="exact"/>
              <w:ind w:firstLine="0" w:firstLineChars="0"/>
              <w:jc w:val="center"/>
              <w:rPr>
                <w:rFonts w:hint="eastAsia" w:cs="Noto Sans SC"/>
                <w:b/>
                <w:bCs/>
                <w:color w:val="000000"/>
                <w:kern w:val="0"/>
              </w:rPr>
            </w:pPr>
          </w:p>
        </w:tc>
        <w:tc>
          <w:tcPr>
            <w:tcW w:w="5607" w:type="dxa"/>
            <w:vAlign w:val="center"/>
          </w:tcPr>
          <w:p>
            <w:pPr>
              <w:snapToGrid w:val="0"/>
              <w:ind w:firstLine="0" w:firstLineChars="0"/>
              <w:rPr>
                <w:rFonts w:hint="eastAsia" w:cs="Noto Sans SC"/>
                <w:color w:val="000000"/>
                <w:kern w:val="0"/>
              </w:rPr>
            </w:pPr>
          </w:p>
        </w:tc>
      </w:tr>
    </w:tbl>
    <w:p>
      <w:pPr>
        <w:rPr>
          <w:rFonts w:hint="eastAsia" w:eastAsia="方正仿宋_GBK"/>
        </w:rPr>
      </w:pPr>
    </w:p>
    <w:p>
      <w:pPr>
        <w:rPr>
          <w:rFonts w:hint="eastAsia" w:eastAsia="方正仿宋_GBK"/>
        </w:rPr>
      </w:pPr>
    </w:p>
    <w:p>
      <w:pPr>
        <w:pStyle w:val="7"/>
        <w:rPr>
          <w:rFonts w:hint="eastAsia"/>
        </w:rPr>
      </w:pPr>
      <w:r>
        <w:rPr>
          <w:rFonts w:hint="eastAsia"/>
        </w:rPr>
        <w:t>语音采集设备</w:t>
      </w:r>
    </w:p>
    <w:tbl>
      <w:tblPr>
        <w:tblStyle w:val="24"/>
        <w:tblW w:w="8346" w:type="dxa"/>
        <w:tblInd w:w="-5" w:type="dxa"/>
        <w:tblLayout w:type="fixed"/>
        <w:tblCellMar>
          <w:top w:w="0" w:type="dxa"/>
          <w:left w:w="108" w:type="dxa"/>
          <w:bottom w:w="0" w:type="dxa"/>
          <w:right w:w="108" w:type="dxa"/>
        </w:tblCellMar>
      </w:tblPr>
      <w:tblGrid>
        <w:gridCol w:w="2127"/>
        <w:gridCol w:w="4341"/>
        <w:gridCol w:w="939"/>
        <w:gridCol w:w="939"/>
      </w:tblGrid>
      <w:tr>
        <w:tblPrEx>
          <w:tblLayout w:type="fixed"/>
          <w:tblCellMar>
            <w:top w:w="0" w:type="dxa"/>
            <w:left w:w="108" w:type="dxa"/>
            <w:bottom w:w="0" w:type="dxa"/>
            <w:right w:w="108" w:type="dxa"/>
          </w:tblCellMar>
        </w:tblPrEx>
        <w:trPr>
          <w:trHeight w:val="310" w:hRule="atLeast"/>
        </w:trPr>
        <w:tc>
          <w:tcPr>
            <w:tcW w:w="212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cs="宋体"/>
                <w:b/>
                <w:bCs/>
                <w:kern w:val="0"/>
              </w:rPr>
            </w:pPr>
            <w:r>
              <w:rPr>
                <w:rFonts w:cs="宋体"/>
                <w:b/>
                <w:bCs/>
                <w:kern w:val="0"/>
              </w:rPr>
              <w:t>名称</w:t>
            </w:r>
          </w:p>
        </w:tc>
        <w:tc>
          <w:tcPr>
            <w:tcW w:w="4341" w:type="dxa"/>
            <w:tcBorders>
              <w:top w:val="single" w:color="auto" w:sz="4" w:space="0"/>
              <w:left w:val="nil"/>
              <w:bottom w:val="single" w:color="auto" w:sz="4" w:space="0"/>
              <w:right w:val="single" w:color="auto" w:sz="4" w:space="0"/>
            </w:tcBorders>
            <w:vAlign w:val="center"/>
          </w:tcPr>
          <w:p>
            <w:pPr>
              <w:widowControl/>
              <w:ind w:firstLine="482"/>
              <w:jc w:val="center"/>
              <w:rPr>
                <w:rFonts w:hint="eastAsia" w:cs="宋体"/>
                <w:b/>
                <w:bCs/>
                <w:kern w:val="0"/>
              </w:rPr>
            </w:pPr>
            <w:r>
              <w:rPr>
                <w:rFonts w:cs="宋体"/>
                <w:b/>
                <w:bCs/>
                <w:kern w:val="0"/>
              </w:rPr>
              <w:t>主要配置</w:t>
            </w:r>
          </w:p>
        </w:tc>
        <w:tc>
          <w:tcPr>
            <w:tcW w:w="939"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hint="eastAsia" w:cs="宋体"/>
                <w:b/>
                <w:bCs/>
                <w:kern w:val="0"/>
              </w:rPr>
            </w:pPr>
            <w:r>
              <w:rPr>
                <w:rFonts w:cs="宋体"/>
                <w:b/>
                <w:bCs/>
                <w:kern w:val="0"/>
              </w:rPr>
              <w:t>数量</w:t>
            </w:r>
          </w:p>
        </w:tc>
        <w:tc>
          <w:tcPr>
            <w:tcW w:w="939"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hint="eastAsia" w:cs="宋体"/>
                <w:b/>
                <w:bCs/>
                <w:kern w:val="0"/>
              </w:rPr>
            </w:pPr>
            <w:r>
              <w:rPr>
                <w:rFonts w:cs="宋体"/>
                <w:b/>
                <w:bCs/>
                <w:kern w:val="0"/>
              </w:rPr>
              <w:t>单位</w:t>
            </w:r>
          </w:p>
        </w:tc>
      </w:tr>
      <w:tr>
        <w:tblPrEx>
          <w:tblLayout w:type="fixed"/>
          <w:tblCellMar>
            <w:top w:w="0" w:type="dxa"/>
            <w:left w:w="108" w:type="dxa"/>
            <w:bottom w:w="0" w:type="dxa"/>
            <w:right w:w="108" w:type="dxa"/>
          </w:tblCellMar>
        </w:tblPrEx>
        <w:trPr>
          <w:trHeight w:val="871" w:hRule="atLeast"/>
        </w:trPr>
        <w:tc>
          <w:tcPr>
            <w:tcW w:w="2127"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cs="宋体"/>
                <w:color w:val="000000"/>
                <w:kern w:val="0"/>
              </w:rPr>
            </w:pPr>
            <w:r>
              <w:rPr>
                <w:rFonts w:hint="eastAsia" w:cs="宋体"/>
                <w:b/>
                <w:bCs/>
                <w:color w:val="000000"/>
                <w:kern w:val="0"/>
              </w:rPr>
              <w:t>语音采集设备</w:t>
            </w:r>
          </w:p>
        </w:tc>
        <w:tc>
          <w:tcPr>
            <w:tcW w:w="4341" w:type="dxa"/>
            <w:tcBorders>
              <w:top w:val="nil"/>
              <w:left w:val="nil"/>
              <w:bottom w:val="single" w:color="auto" w:sz="4" w:space="0"/>
              <w:right w:val="single" w:color="auto" w:sz="4" w:space="0"/>
            </w:tcBorders>
          </w:tcPr>
          <w:p>
            <w:pPr>
              <w:widowControl/>
              <w:ind w:firstLine="0" w:firstLineChars="0"/>
              <w:jc w:val="left"/>
              <w:rPr>
                <w:rFonts w:hint="eastAsia" w:cs="宋体"/>
                <w:kern w:val="0"/>
                <w:sz w:val="22"/>
              </w:rPr>
            </w:pPr>
            <w:r>
              <w:rPr>
                <w:rFonts w:hint="eastAsia" w:cs="宋体"/>
                <w:kern w:val="0"/>
                <w:sz w:val="22"/>
              </w:rPr>
              <w:t>1. 核心功能与协议</w:t>
            </w:r>
          </w:p>
          <w:p>
            <w:pPr>
              <w:widowControl/>
              <w:ind w:firstLine="0" w:firstLineChars="0"/>
              <w:jc w:val="left"/>
              <w:rPr>
                <w:rFonts w:hint="eastAsia" w:cs="宋体"/>
                <w:kern w:val="0"/>
                <w:sz w:val="22"/>
              </w:rPr>
            </w:pPr>
            <w:r>
              <w:rPr>
                <w:rFonts w:hint="eastAsia" w:cs="宋体"/>
                <w:kern w:val="0"/>
                <w:sz w:val="22"/>
              </w:rPr>
              <w:t>支持USB 2.0标准通信协议（UAC免驱）；采用4麦克风阵列对讲技术；内置AI降噪算法，支持高强度环境降噪、定向角度拾音；具备全双工通话能力，支持面对面同步说话互不干扰；适用于医院桌面录音、语音转文字及翻译场景；高噪音下拾音准确率高，针对0-2米范围进行近距离人声优化。</w:t>
            </w:r>
          </w:p>
          <w:p>
            <w:pPr>
              <w:widowControl/>
              <w:ind w:firstLine="0" w:firstLineChars="0"/>
              <w:jc w:val="left"/>
              <w:rPr>
                <w:rFonts w:hint="eastAsia" w:cs="宋体"/>
                <w:kern w:val="0"/>
                <w:sz w:val="22"/>
              </w:rPr>
            </w:pPr>
            <w:r>
              <w:rPr>
                <w:rFonts w:hint="eastAsia" w:cs="宋体"/>
                <w:kern w:val="0"/>
                <w:sz w:val="22"/>
              </w:rPr>
              <w:t>2. 麦克风类型</w:t>
            </w:r>
          </w:p>
          <w:p>
            <w:pPr>
              <w:widowControl/>
              <w:ind w:firstLine="0" w:firstLineChars="0"/>
              <w:jc w:val="left"/>
              <w:rPr>
                <w:rFonts w:hint="eastAsia" w:cs="宋体"/>
                <w:kern w:val="0"/>
                <w:sz w:val="22"/>
              </w:rPr>
            </w:pPr>
            <w:r>
              <w:rPr>
                <w:rFonts w:hint="eastAsia" w:cs="宋体"/>
                <w:kern w:val="0"/>
                <w:sz w:val="22"/>
              </w:rPr>
              <w:t>环形/线性等距阵列麦克风 (4阵列)</w:t>
            </w:r>
          </w:p>
          <w:p>
            <w:pPr>
              <w:widowControl/>
              <w:ind w:firstLine="0" w:firstLineChars="0"/>
              <w:jc w:val="left"/>
              <w:rPr>
                <w:rFonts w:hint="eastAsia" w:cs="宋体"/>
                <w:kern w:val="0"/>
                <w:sz w:val="22"/>
              </w:rPr>
            </w:pPr>
            <w:r>
              <w:rPr>
                <w:rFonts w:hint="eastAsia" w:cs="宋体"/>
                <w:kern w:val="0"/>
                <w:sz w:val="22"/>
              </w:rPr>
              <w:t>3. 信噪比</w:t>
            </w:r>
          </w:p>
          <w:p>
            <w:pPr>
              <w:widowControl/>
              <w:ind w:firstLine="0" w:firstLineChars="0"/>
              <w:jc w:val="left"/>
              <w:rPr>
                <w:rFonts w:hint="eastAsia" w:cs="宋体"/>
                <w:kern w:val="0"/>
                <w:sz w:val="22"/>
              </w:rPr>
            </w:pPr>
            <w:r>
              <w:rPr>
                <w:rFonts w:hint="eastAsia" w:cs="宋体"/>
                <w:kern w:val="0"/>
                <w:sz w:val="22"/>
              </w:rPr>
              <w:t>≥64dB (典型值为65-75dB)</w:t>
            </w:r>
          </w:p>
          <w:p>
            <w:pPr>
              <w:widowControl/>
              <w:ind w:firstLine="0" w:firstLineChars="0"/>
              <w:jc w:val="left"/>
              <w:rPr>
                <w:rFonts w:hint="eastAsia" w:cs="宋体"/>
                <w:kern w:val="0"/>
                <w:sz w:val="22"/>
              </w:rPr>
            </w:pPr>
            <w:r>
              <w:rPr>
                <w:rFonts w:hint="eastAsia" w:cs="宋体"/>
                <w:kern w:val="0"/>
                <w:sz w:val="22"/>
              </w:rPr>
              <w:t>4. 灵敏度</w:t>
            </w:r>
          </w:p>
          <w:p>
            <w:pPr>
              <w:widowControl/>
              <w:ind w:firstLine="0" w:firstLineChars="0"/>
              <w:jc w:val="left"/>
              <w:rPr>
                <w:rFonts w:hint="eastAsia" w:cs="宋体"/>
                <w:kern w:val="0"/>
                <w:sz w:val="22"/>
              </w:rPr>
            </w:pPr>
            <w:r>
              <w:rPr>
                <w:rFonts w:hint="eastAsia" w:cs="宋体"/>
                <w:kern w:val="0"/>
                <w:sz w:val="22"/>
              </w:rPr>
              <w:t>-26dB±3dB (典型电容麦灵敏度)</w:t>
            </w:r>
          </w:p>
          <w:p>
            <w:pPr>
              <w:widowControl/>
              <w:ind w:firstLine="0" w:firstLineChars="0"/>
              <w:jc w:val="left"/>
              <w:rPr>
                <w:rFonts w:hint="eastAsia" w:cs="宋体"/>
                <w:kern w:val="0"/>
                <w:sz w:val="22"/>
              </w:rPr>
            </w:pPr>
            <w:r>
              <w:rPr>
                <w:rFonts w:hint="eastAsia" w:cs="宋体"/>
                <w:kern w:val="0"/>
                <w:sz w:val="22"/>
              </w:rPr>
              <w:t>5. 拾音角度</w:t>
            </w:r>
          </w:p>
          <w:p>
            <w:pPr>
              <w:widowControl/>
              <w:ind w:firstLine="0" w:firstLineChars="0"/>
              <w:jc w:val="left"/>
              <w:rPr>
                <w:rFonts w:hint="eastAsia" w:cs="宋体"/>
                <w:kern w:val="0"/>
                <w:sz w:val="22"/>
              </w:rPr>
            </w:pPr>
            <w:r>
              <w:rPr>
                <w:rFonts w:hint="eastAsia" w:cs="宋体"/>
                <w:kern w:val="0"/>
                <w:sz w:val="22"/>
              </w:rPr>
              <w:t>360°全向拾音 (覆盖您要求的±60度定向需求)</w:t>
            </w:r>
          </w:p>
          <w:p>
            <w:pPr>
              <w:widowControl/>
              <w:ind w:firstLine="0" w:firstLineChars="0"/>
              <w:jc w:val="left"/>
              <w:rPr>
                <w:rFonts w:hint="eastAsia" w:cs="宋体"/>
                <w:kern w:val="0"/>
                <w:sz w:val="22"/>
              </w:rPr>
            </w:pPr>
            <w:r>
              <w:rPr>
                <w:rFonts w:hint="eastAsia" w:cs="宋体"/>
                <w:kern w:val="0"/>
                <w:sz w:val="22"/>
              </w:rPr>
              <w:t>6. 拾音距离</w:t>
            </w:r>
          </w:p>
          <w:p>
            <w:pPr>
              <w:widowControl/>
              <w:ind w:firstLine="0" w:firstLineChars="0"/>
              <w:jc w:val="left"/>
              <w:rPr>
                <w:rFonts w:hint="eastAsia" w:cs="宋体"/>
                <w:kern w:val="0"/>
                <w:sz w:val="22"/>
              </w:rPr>
            </w:pPr>
            <w:r>
              <w:rPr>
                <w:rFonts w:hint="eastAsia" w:cs="宋体"/>
                <w:kern w:val="0"/>
                <w:sz w:val="22"/>
              </w:rPr>
              <w:t>0.1 ~ 6米 (最佳人声识别区间覆盖0-2米)</w:t>
            </w:r>
          </w:p>
          <w:p>
            <w:pPr>
              <w:widowControl/>
              <w:ind w:firstLine="0" w:firstLineChars="0"/>
              <w:jc w:val="left"/>
              <w:rPr>
                <w:rFonts w:hint="eastAsia" w:cs="宋体"/>
                <w:kern w:val="0"/>
                <w:sz w:val="22"/>
              </w:rPr>
            </w:pPr>
            <w:r>
              <w:rPr>
                <w:rFonts w:hint="eastAsia" w:cs="宋体"/>
                <w:kern w:val="0"/>
                <w:sz w:val="22"/>
              </w:rPr>
              <w:t>7. 采样率</w:t>
            </w:r>
          </w:p>
          <w:p>
            <w:pPr>
              <w:widowControl/>
              <w:ind w:firstLine="0" w:firstLineChars="0"/>
              <w:jc w:val="left"/>
              <w:rPr>
                <w:rFonts w:hint="eastAsia" w:cs="宋体"/>
                <w:kern w:val="0"/>
                <w:sz w:val="22"/>
              </w:rPr>
            </w:pPr>
            <w:r>
              <w:rPr>
                <w:rFonts w:hint="eastAsia" w:cs="宋体"/>
                <w:kern w:val="0"/>
                <w:sz w:val="22"/>
              </w:rPr>
              <w:t>16kHz / 48kHz (兼容16kHz语音识别标准)</w:t>
            </w:r>
          </w:p>
          <w:p>
            <w:pPr>
              <w:widowControl/>
              <w:ind w:firstLine="0" w:firstLineChars="0"/>
              <w:jc w:val="left"/>
              <w:rPr>
                <w:rFonts w:hint="eastAsia" w:cs="宋体"/>
                <w:kern w:val="0"/>
                <w:sz w:val="22"/>
              </w:rPr>
            </w:pPr>
            <w:r>
              <w:rPr>
                <w:rFonts w:hint="eastAsia" w:cs="宋体"/>
                <w:kern w:val="0"/>
                <w:sz w:val="22"/>
              </w:rPr>
              <w:t>8. 系统兼容</w:t>
            </w:r>
          </w:p>
          <w:p>
            <w:pPr>
              <w:widowControl/>
              <w:ind w:firstLine="0" w:firstLineChars="0"/>
              <w:jc w:val="left"/>
              <w:rPr>
                <w:rFonts w:hint="eastAsia" w:cs="宋体"/>
                <w:kern w:val="0"/>
                <w:sz w:val="22"/>
              </w:rPr>
            </w:pPr>
            <w:r>
              <w:rPr>
                <w:rFonts w:hint="eastAsia" w:cs="宋体"/>
                <w:kern w:val="0"/>
                <w:sz w:val="22"/>
              </w:rPr>
              <w:t>Windows 7/10/11; Android 7.0及以上; MacOS; Linux</w:t>
            </w:r>
          </w:p>
          <w:p>
            <w:pPr>
              <w:widowControl/>
              <w:ind w:firstLine="0" w:firstLineChars="0"/>
              <w:jc w:val="left"/>
              <w:rPr>
                <w:rFonts w:hint="eastAsia" w:cs="宋体"/>
                <w:kern w:val="0"/>
                <w:sz w:val="22"/>
              </w:rPr>
            </w:pPr>
            <w:r>
              <w:rPr>
                <w:rFonts w:hint="eastAsia" w:cs="宋体"/>
                <w:kern w:val="0"/>
                <w:sz w:val="22"/>
              </w:rPr>
              <w:t>支持功能</w:t>
            </w:r>
          </w:p>
          <w:p>
            <w:pPr>
              <w:widowControl/>
              <w:ind w:firstLine="0" w:firstLineChars="0"/>
              <w:jc w:val="left"/>
              <w:rPr>
                <w:rFonts w:hint="eastAsia" w:cs="宋体"/>
                <w:kern w:val="0"/>
                <w:sz w:val="22"/>
              </w:rPr>
            </w:pPr>
            <w:r>
              <w:rPr>
                <w:rFonts w:hint="eastAsia" w:cs="宋体"/>
                <w:kern w:val="0"/>
                <w:sz w:val="22"/>
              </w:rPr>
              <w:t>环境抑噪 (ENC)、混响去除 (AEC)、自动增益控制 (AGC)、回声消除、即插即用、超高语音识别率适配。</w:t>
            </w:r>
          </w:p>
        </w:tc>
        <w:tc>
          <w:tcPr>
            <w:tcW w:w="939" w:type="dxa"/>
            <w:tcBorders>
              <w:top w:val="nil"/>
              <w:left w:val="nil"/>
              <w:bottom w:val="single" w:color="auto" w:sz="4" w:space="0"/>
              <w:right w:val="single" w:color="auto" w:sz="4" w:space="0"/>
            </w:tcBorders>
            <w:vAlign w:val="center"/>
          </w:tcPr>
          <w:p>
            <w:pPr>
              <w:widowControl/>
              <w:ind w:firstLine="0" w:firstLineChars="0"/>
              <w:jc w:val="center"/>
              <w:rPr>
                <w:rFonts w:hint="eastAsia" w:cs="宋体"/>
                <w:color w:val="000000"/>
                <w:kern w:val="0"/>
              </w:rPr>
            </w:pPr>
            <w:r>
              <w:rPr>
                <w:rFonts w:hint="eastAsia" w:cs="宋体"/>
                <w:color w:val="000000"/>
                <w:kern w:val="0"/>
              </w:rPr>
              <w:t>100</w:t>
            </w:r>
          </w:p>
        </w:tc>
        <w:tc>
          <w:tcPr>
            <w:tcW w:w="939" w:type="dxa"/>
            <w:tcBorders>
              <w:top w:val="nil"/>
              <w:left w:val="nil"/>
              <w:bottom w:val="single" w:color="auto" w:sz="4" w:space="0"/>
              <w:right w:val="single" w:color="auto" w:sz="4" w:space="0"/>
            </w:tcBorders>
            <w:vAlign w:val="center"/>
          </w:tcPr>
          <w:p>
            <w:pPr>
              <w:widowControl/>
              <w:ind w:firstLine="0" w:firstLineChars="0"/>
              <w:jc w:val="center"/>
              <w:rPr>
                <w:rFonts w:hint="eastAsia" w:cs="宋体"/>
                <w:color w:val="000000"/>
                <w:kern w:val="0"/>
              </w:rPr>
            </w:pPr>
            <w:r>
              <w:rPr>
                <w:rFonts w:hint="eastAsia" w:cs="宋体"/>
                <w:color w:val="000000"/>
                <w:kern w:val="0"/>
              </w:rPr>
              <w:t>套</w:t>
            </w:r>
          </w:p>
        </w:tc>
      </w:tr>
    </w:tbl>
    <w:p>
      <w:pPr>
        <w:ind w:firstLine="0" w:firstLineChars="0"/>
        <w:rPr>
          <w:rFonts w:hint="eastAsia" w:eastAsia="方正仿宋_GBK"/>
        </w:rPr>
      </w:pPr>
    </w:p>
    <w:p>
      <w:pPr>
        <w:pStyle w:val="7"/>
        <w:rPr>
          <w:rFonts w:hint="eastAsia"/>
        </w:rPr>
      </w:pPr>
      <w:r>
        <w:rPr>
          <w:rFonts w:hint="eastAsia"/>
        </w:rPr>
        <w:t>算力服务器</w:t>
      </w:r>
    </w:p>
    <w:tbl>
      <w:tblPr>
        <w:tblStyle w:val="24"/>
        <w:tblW w:w="8346" w:type="dxa"/>
        <w:tblInd w:w="-5" w:type="dxa"/>
        <w:tblLayout w:type="fixed"/>
        <w:tblCellMar>
          <w:top w:w="0" w:type="dxa"/>
          <w:left w:w="108" w:type="dxa"/>
          <w:bottom w:w="0" w:type="dxa"/>
          <w:right w:w="108" w:type="dxa"/>
        </w:tblCellMar>
      </w:tblPr>
      <w:tblGrid>
        <w:gridCol w:w="939"/>
        <w:gridCol w:w="5529"/>
        <w:gridCol w:w="939"/>
        <w:gridCol w:w="939"/>
      </w:tblGrid>
      <w:tr>
        <w:tblPrEx>
          <w:tblLayout w:type="fixed"/>
          <w:tblCellMar>
            <w:top w:w="0" w:type="dxa"/>
            <w:left w:w="108" w:type="dxa"/>
            <w:bottom w:w="0" w:type="dxa"/>
            <w:right w:w="108" w:type="dxa"/>
          </w:tblCellMar>
        </w:tblPrEx>
        <w:trPr>
          <w:trHeight w:val="310" w:hRule="atLeast"/>
        </w:trPr>
        <w:tc>
          <w:tcPr>
            <w:tcW w:w="93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cs="宋体"/>
                <w:b/>
                <w:bCs/>
                <w:kern w:val="0"/>
              </w:rPr>
            </w:pPr>
            <w:r>
              <w:rPr>
                <w:rFonts w:cs="宋体"/>
                <w:b/>
                <w:bCs/>
                <w:kern w:val="0"/>
              </w:rPr>
              <w:t>名称</w:t>
            </w:r>
          </w:p>
        </w:tc>
        <w:tc>
          <w:tcPr>
            <w:tcW w:w="5529" w:type="dxa"/>
            <w:tcBorders>
              <w:top w:val="single" w:color="auto" w:sz="4" w:space="0"/>
              <w:left w:val="nil"/>
              <w:bottom w:val="single" w:color="auto" w:sz="4" w:space="0"/>
              <w:right w:val="single" w:color="auto" w:sz="4" w:space="0"/>
            </w:tcBorders>
            <w:vAlign w:val="center"/>
          </w:tcPr>
          <w:p>
            <w:pPr>
              <w:widowControl/>
              <w:ind w:firstLine="482"/>
              <w:jc w:val="center"/>
              <w:rPr>
                <w:rFonts w:hint="eastAsia" w:cs="宋体"/>
                <w:b/>
                <w:bCs/>
                <w:kern w:val="0"/>
              </w:rPr>
            </w:pPr>
            <w:r>
              <w:rPr>
                <w:rFonts w:cs="宋体"/>
                <w:b/>
                <w:bCs/>
                <w:kern w:val="0"/>
              </w:rPr>
              <w:t>主要配置</w:t>
            </w:r>
          </w:p>
        </w:tc>
        <w:tc>
          <w:tcPr>
            <w:tcW w:w="939"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hint="eastAsia" w:cs="宋体"/>
                <w:b/>
                <w:bCs/>
                <w:kern w:val="0"/>
              </w:rPr>
            </w:pPr>
            <w:r>
              <w:rPr>
                <w:rFonts w:cs="宋体"/>
                <w:b/>
                <w:bCs/>
                <w:kern w:val="0"/>
              </w:rPr>
              <w:t>数量</w:t>
            </w:r>
          </w:p>
        </w:tc>
        <w:tc>
          <w:tcPr>
            <w:tcW w:w="939"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hint="eastAsia" w:cs="宋体"/>
                <w:b/>
                <w:bCs/>
                <w:kern w:val="0"/>
              </w:rPr>
            </w:pPr>
            <w:r>
              <w:rPr>
                <w:rFonts w:cs="宋体"/>
                <w:b/>
                <w:bCs/>
                <w:kern w:val="0"/>
              </w:rPr>
              <w:t>单位</w:t>
            </w:r>
          </w:p>
        </w:tc>
      </w:tr>
      <w:tr>
        <w:tblPrEx>
          <w:tblLayout w:type="fixed"/>
          <w:tblCellMar>
            <w:top w:w="0" w:type="dxa"/>
            <w:left w:w="108" w:type="dxa"/>
            <w:bottom w:w="0" w:type="dxa"/>
            <w:right w:w="108" w:type="dxa"/>
          </w:tblCellMar>
        </w:tblPrEx>
        <w:trPr>
          <w:trHeight w:val="3517" w:hRule="atLeast"/>
        </w:trPr>
        <w:tc>
          <w:tcPr>
            <w:tcW w:w="939" w:type="dxa"/>
            <w:tcBorders>
              <w:top w:val="nil"/>
              <w:left w:val="single" w:color="auto" w:sz="4" w:space="0"/>
              <w:bottom w:val="single" w:color="auto" w:sz="4" w:space="0"/>
              <w:right w:val="single" w:color="auto" w:sz="4" w:space="0"/>
            </w:tcBorders>
            <w:vAlign w:val="center"/>
          </w:tcPr>
          <w:p>
            <w:pPr>
              <w:widowControl/>
              <w:ind w:firstLine="0" w:firstLineChars="0"/>
              <w:rPr>
                <w:rFonts w:hint="eastAsia" w:cs="宋体"/>
                <w:color w:val="000000"/>
                <w:kern w:val="0"/>
              </w:rPr>
            </w:pPr>
            <w:r>
              <w:rPr>
                <w:rFonts w:cs="宋体"/>
                <w:color w:val="000000"/>
                <w:kern w:val="0"/>
              </w:rPr>
              <w:t>算力节点</w:t>
            </w:r>
          </w:p>
        </w:tc>
        <w:tc>
          <w:tcPr>
            <w:tcW w:w="5529" w:type="dxa"/>
            <w:tcBorders>
              <w:top w:val="nil"/>
              <w:left w:val="nil"/>
              <w:bottom w:val="single" w:color="auto" w:sz="4" w:space="0"/>
              <w:right w:val="single" w:color="auto" w:sz="4" w:space="0"/>
            </w:tcBorders>
          </w:tcPr>
          <w:p>
            <w:pPr>
              <w:widowControl/>
              <w:ind w:firstLine="0" w:firstLineChars="0"/>
              <w:jc w:val="left"/>
              <w:rPr>
                <w:rFonts w:hint="eastAsia" w:cs="宋体"/>
                <w:kern w:val="0"/>
                <w:sz w:val="22"/>
              </w:rPr>
            </w:pPr>
            <w:r>
              <w:rPr>
                <w:rFonts w:cs="宋体"/>
                <w:kern w:val="0"/>
                <w:sz w:val="22"/>
              </w:rPr>
              <w:t>1.机型：机架服务器，高度≥4U；</w:t>
            </w:r>
            <w:r>
              <w:rPr>
                <w:rFonts w:cs="宋体"/>
                <w:kern w:val="0"/>
                <w:sz w:val="22"/>
              </w:rPr>
              <w:br w:type="textWrapping"/>
            </w:r>
            <w:r>
              <w:rPr>
                <w:rFonts w:cs="宋体"/>
                <w:kern w:val="0"/>
                <w:sz w:val="22"/>
              </w:rPr>
              <w:t>2、处理器：单机提供≥4 颗国产处理器；单颗 CPU 主频≥2.6GHz，核数≥48 核</w:t>
            </w:r>
            <w:r>
              <w:rPr>
                <w:rFonts w:hint="eastAsia" w:cs="宋体"/>
                <w:kern w:val="0"/>
                <w:sz w:val="22"/>
              </w:rPr>
              <w:t>；</w:t>
            </w:r>
          </w:p>
          <w:p>
            <w:pPr>
              <w:widowControl/>
              <w:ind w:firstLine="0" w:firstLineChars="0"/>
              <w:jc w:val="left"/>
              <w:rPr>
                <w:rFonts w:hint="eastAsia" w:cs="宋体"/>
                <w:kern w:val="0"/>
                <w:sz w:val="22"/>
              </w:rPr>
            </w:pPr>
            <w:r>
              <w:rPr>
                <w:rFonts w:cs="宋体"/>
                <w:kern w:val="0"/>
                <w:sz w:val="22"/>
              </w:rPr>
              <w:t>3、算力：整机配置≥8块AI处理器，单AI处理器配置显存容量≥64GB，单AI处理器FP16理论峰值算力≥280TFLOPS。整机理论峰值算力FP16≥2.2PFLOPS</w:t>
            </w:r>
            <w:r>
              <w:rPr>
                <w:rFonts w:hint="eastAsia" w:cs="宋体"/>
                <w:kern w:val="0"/>
                <w:sz w:val="22"/>
              </w:rPr>
              <w:t>；</w:t>
            </w:r>
            <w:r>
              <w:rPr>
                <w:rFonts w:cs="宋体"/>
                <w:kern w:val="0"/>
                <w:sz w:val="22"/>
              </w:rPr>
              <w:br w:type="textWrapping"/>
            </w:r>
            <w:r>
              <w:rPr>
                <w:rFonts w:cs="宋体"/>
                <w:kern w:val="0"/>
                <w:sz w:val="22"/>
              </w:rPr>
              <w:t>4.内存：配置内存≥1024GB，支持≥</w:t>
            </w:r>
            <w:r>
              <w:rPr>
                <w:rFonts w:hint="eastAsia" w:cs="宋体"/>
                <w:kern w:val="0"/>
                <w:sz w:val="22"/>
              </w:rPr>
              <w:t>64</w:t>
            </w:r>
            <w:r>
              <w:rPr>
                <w:rFonts w:cs="宋体"/>
                <w:kern w:val="0"/>
                <w:sz w:val="22"/>
              </w:rPr>
              <w:t>个内存插槽</w:t>
            </w:r>
          </w:p>
          <w:p>
            <w:pPr>
              <w:widowControl/>
              <w:ind w:firstLine="0" w:firstLineChars="0"/>
              <w:jc w:val="left"/>
              <w:rPr>
                <w:rFonts w:hint="eastAsia" w:cs="宋体"/>
                <w:kern w:val="0"/>
                <w:sz w:val="22"/>
              </w:rPr>
            </w:pPr>
            <w:r>
              <w:rPr>
                <w:rFonts w:hint="eastAsia" w:cs="宋体"/>
                <w:kern w:val="0"/>
                <w:sz w:val="22"/>
              </w:rPr>
              <w:t>5.</w:t>
            </w:r>
            <w:r>
              <w:rPr>
                <w:rFonts w:hint="eastAsia"/>
              </w:rPr>
              <w:t xml:space="preserve"> </w:t>
            </w:r>
            <w:r>
              <w:rPr>
                <w:rFonts w:cs="宋体"/>
                <w:kern w:val="0"/>
                <w:sz w:val="22"/>
              </w:rPr>
              <w:t>最大支持 14个PCIe4.0扩展槽位，包括1个RAID卡专用的PCIe扩展槽位，2个OPC3.0专用FLEX IO扩展槽位，11个标准PCIe4.0 扩展槽位</w:t>
            </w:r>
            <w:r>
              <w:rPr>
                <w:rFonts w:hint="eastAsia" w:cs="宋体"/>
                <w:kern w:val="0"/>
                <w:sz w:val="22"/>
              </w:rPr>
              <w:t>；</w:t>
            </w:r>
          </w:p>
          <w:p>
            <w:pPr>
              <w:widowControl/>
              <w:ind w:firstLine="0" w:firstLineChars="0"/>
              <w:jc w:val="left"/>
              <w:rPr>
                <w:rFonts w:hint="eastAsia" w:cs="宋体"/>
                <w:kern w:val="0"/>
                <w:sz w:val="22"/>
              </w:rPr>
            </w:pPr>
            <w:r>
              <w:rPr>
                <w:rFonts w:hint="eastAsia" w:cs="宋体"/>
                <w:kern w:val="0"/>
                <w:sz w:val="22"/>
              </w:rPr>
              <w:t>6.</w:t>
            </w:r>
            <w:r>
              <w:rPr>
                <w:rFonts w:hint="eastAsia"/>
              </w:rPr>
              <w:t xml:space="preserve"> </w:t>
            </w:r>
            <w:r>
              <w:rPr>
                <w:rFonts w:cs="宋体"/>
                <w:kern w:val="0"/>
                <w:sz w:val="22"/>
              </w:rPr>
              <w:t>GPU扩展能力：最高支持</w:t>
            </w:r>
            <w:r>
              <w:rPr>
                <w:rFonts w:hint="eastAsia" w:cs="宋体"/>
                <w:kern w:val="0"/>
                <w:sz w:val="22"/>
              </w:rPr>
              <w:t>8</w:t>
            </w:r>
            <w:r>
              <w:rPr>
                <w:rFonts w:cs="宋体"/>
                <w:kern w:val="0"/>
                <w:sz w:val="22"/>
              </w:rPr>
              <w:t>个300W全高全长双宽GPU加速卡/11个半高半长GPU加速卡/</w:t>
            </w:r>
            <w:r>
              <w:rPr>
                <w:rFonts w:hint="eastAsia" w:cs="宋体"/>
                <w:kern w:val="0"/>
                <w:sz w:val="22"/>
              </w:rPr>
              <w:t>13</w:t>
            </w:r>
            <w:r>
              <w:rPr>
                <w:rFonts w:cs="宋体"/>
                <w:kern w:val="0"/>
                <w:sz w:val="22"/>
              </w:rPr>
              <w:t>个全高全长单宽GPU加速卡</w:t>
            </w:r>
            <w:r>
              <w:rPr>
                <w:rFonts w:hint="eastAsia" w:cs="宋体"/>
                <w:kern w:val="0"/>
                <w:sz w:val="22"/>
              </w:rPr>
              <w:t>；</w:t>
            </w:r>
            <w:r>
              <w:rPr>
                <w:rFonts w:cs="宋体"/>
                <w:kern w:val="0"/>
                <w:sz w:val="22"/>
              </w:rPr>
              <w:br w:type="textWrapping"/>
            </w:r>
            <w:r>
              <w:rPr>
                <w:rFonts w:hint="eastAsia" w:cs="宋体"/>
                <w:kern w:val="0"/>
                <w:sz w:val="22"/>
              </w:rPr>
              <w:t>7</w:t>
            </w:r>
            <w:r>
              <w:rPr>
                <w:rFonts w:cs="宋体"/>
                <w:kern w:val="0"/>
                <w:sz w:val="22"/>
              </w:rPr>
              <w:t>.存储：配置≥2 块，单块容量≥480G SATA SSD 硬盘，配置≥2 块，单块容量≥3.84T NVMe SSD 硬盘；</w:t>
            </w:r>
            <w:r>
              <w:rPr>
                <w:rFonts w:cs="宋体"/>
                <w:kern w:val="0"/>
                <w:sz w:val="22"/>
              </w:rPr>
              <w:br w:type="textWrapping"/>
            </w:r>
            <w:r>
              <w:rPr>
                <w:rFonts w:hint="eastAsia" w:cs="宋体"/>
                <w:kern w:val="0"/>
                <w:sz w:val="22"/>
              </w:rPr>
              <w:t>8</w:t>
            </w:r>
            <w:r>
              <w:rPr>
                <w:rFonts w:cs="宋体"/>
                <w:kern w:val="0"/>
                <w:sz w:val="22"/>
              </w:rPr>
              <w:t>.阵列卡：配置 1 块磁盘阵列卡，缓存≥4G Cache，支持 RAID 0/1/5/6/10，配置掉电保护；</w:t>
            </w:r>
            <w:r>
              <w:rPr>
                <w:rFonts w:cs="宋体"/>
                <w:kern w:val="0"/>
                <w:sz w:val="22"/>
              </w:rPr>
              <w:br w:type="textWrapping"/>
            </w:r>
            <w:r>
              <w:rPr>
                <w:rFonts w:hint="eastAsia" w:cs="宋体"/>
                <w:kern w:val="0"/>
                <w:sz w:val="22"/>
              </w:rPr>
              <w:t>9</w:t>
            </w:r>
            <w:r>
              <w:rPr>
                <w:rFonts w:cs="宋体"/>
                <w:kern w:val="0"/>
                <w:sz w:val="22"/>
              </w:rPr>
              <w:t>.网卡：配置≥4*25GE 网口（含多模光模块），配置≥4 块双口 200GE 光网卡；</w:t>
            </w:r>
            <w:r>
              <w:rPr>
                <w:rFonts w:cs="宋体"/>
                <w:kern w:val="0"/>
                <w:sz w:val="22"/>
              </w:rPr>
              <w:br w:type="textWrapping"/>
            </w:r>
            <w:r>
              <w:rPr>
                <w:rFonts w:hint="eastAsia" w:cs="宋体"/>
                <w:kern w:val="0"/>
                <w:sz w:val="22"/>
              </w:rPr>
              <w:t>10</w:t>
            </w:r>
            <w:r>
              <w:rPr>
                <w:rFonts w:cs="宋体"/>
                <w:kern w:val="0"/>
                <w:sz w:val="22"/>
              </w:rPr>
              <w:t>.电源模块支持热插拔，</w:t>
            </w:r>
            <w:r>
              <w:rPr>
                <w:rFonts w:hint="eastAsia" w:cs="宋体"/>
                <w:kern w:val="0"/>
                <w:sz w:val="22"/>
              </w:rPr>
              <w:t>2600W*4</w:t>
            </w:r>
            <w:r>
              <w:rPr>
                <w:rFonts w:cs="宋体"/>
                <w:kern w:val="0"/>
                <w:sz w:val="22"/>
              </w:rPr>
              <w:t>冗余；</w:t>
            </w:r>
            <w:r>
              <w:rPr>
                <w:rFonts w:cs="宋体"/>
                <w:kern w:val="0"/>
                <w:sz w:val="22"/>
              </w:rPr>
              <w:br w:type="textWrapping"/>
            </w:r>
            <w:r>
              <w:rPr>
                <w:rFonts w:hint="eastAsia" w:cs="宋体"/>
                <w:kern w:val="0"/>
                <w:sz w:val="22"/>
              </w:rPr>
              <w:t>11</w:t>
            </w:r>
            <w:r>
              <w:rPr>
                <w:rFonts w:cs="宋体"/>
                <w:kern w:val="0"/>
                <w:sz w:val="22"/>
              </w:rPr>
              <w:t>、BMC主机管理系统采用国产自研管理芯片</w:t>
            </w:r>
            <w:r>
              <w:rPr>
                <w:rFonts w:hint="eastAsia" w:cs="宋体"/>
                <w:kern w:val="0"/>
                <w:sz w:val="22"/>
              </w:rPr>
              <w:t>；</w:t>
            </w:r>
            <w:r>
              <w:rPr>
                <w:rFonts w:cs="宋体"/>
                <w:kern w:val="0"/>
                <w:sz w:val="22"/>
              </w:rPr>
              <w:br w:type="textWrapping"/>
            </w:r>
            <w:r>
              <w:rPr>
                <w:rFonts w:cs="宋体"/>
                <w:color w:val="FF0000"/>
                <w:kern w:val="0"/>
                <w:sz w:val="22"/>
              </w:rPr>
              <w:t>1</w:t>
            </w:r>
            <w:r>
              <w:rPr>
                <w:rFonts w:hint="eastAsia" w:cs="宋体"/>
                <w:color w:val="FF0000"/>
                <w:kern w:val="0"/>
                <w:sz w:val="22"/>
              </w:rPr>
              <w:t>2</w:t>
            </w:r>
            <w:r>
              <w:rPr>
                <w:rFonts w:cs="宋体"/>
                <w:color w:val="FF0000"/>
                <w:kern w:val="0"/>
                <w:sz w:val="22"/>
              </w:rPr>
              <w:t>、</w:t>
            </w:r>
            <w:r>
              <w:rPr>
                <w:rFonts w:hint="eastAsia" w:cs="宋体"/>
                <w:color w:val="FF0000"/>
                <w:kern w:val="0"/>
                <w:sz w:val="22"/>
              </w:rPr>
              <w:t>五</w:t>
            </w:r>
            <w:r>
              <w:rPr>
                <w:rFonts w:cs="宋体"/>
                <w:color w:val="FF0000"/>
                <w:kern w:val="0"/>
                <w:sz w:val="22"/>
              </w:rPr>
              <w:t>年原厂维保服务。</w:t>
            </w:r>
          </w:p>
        </w:tc>
        <w:tc>
          <w:tcPr>
            <w:tcW w:w="939" w:type="dxa"/>
            <w:tcBorders>
              <w:top w:val="nil"/>
              <w:left w:val="nil"/>
              <w:bottom w:val="single" w:color="auto" w:sz="4" w:space="0"/>
              <w:right w:val="single" w:color="auto" w:sz="4" w:space="0"/>
            </w:tcBorders>
            <w:vAlign w:val="center"/>
          </w:tcPr>
          <w:p>
            <w:pPr>
              <w:widowControl/>
              <w:ind w:firstLine="0" w:firstLineChars="0"/>
              <w:jc w:val="center"/>
              <w:rPr>
                <w:rFonts w:hint="eastAsia" w:cs="宋体"/>
                <w:color w:val="000000"/>
                <w:kern w:val="0"/>
              </w:rPr>
            </w:pPr>
            <w:r>
              <w:rPr>
                <w:rFonts w:cs="宋体"/>
                <w:color w:val="000000"/>
                <w:kern w:val="0"/>
              </w:rPr>
              <w:t>1</w:t>
            </w:r>
          </w:p>
        </w:tc>
        <w:tc>
          <w:tcPr>
            <w:tcW w:w="939" w:type="dxa"/>
            <w:tcBorders>
              <w:top w:val="nil"/>
              <w:left w:val="nil"/>
              <w:bottom w:val="single" w:color="auto" w:sz="4" w:space="0"/>
              <w:right w:val="single" w:color="auto" w:sz="4" w:space="0"/>
            </w:tcBorders>
            <w:vAlign w:val="center"/>
          </w:tcPr>
          <w:p>
            <w:pPr>
              <w:widowControl/>
              <w:ind w:firstLine="0" w:firstLineChars="0"/>
              <w:jc w:val="center"/>
              <w:rPr>
                <w:rFonts w:hint="eastAsia" w:cs="宋体"/>
                <w:color w:val="000000"/>
                <w:kern w:val="0"/>
              </w:rPr>
            </w:pPr>
            <w:r>
              <w:rPr>
                <w:rFonts w:cs="宋体"/>
                <w:color w:val="000000"/>
                <w:kern w:val="0"/>
              </w:rPr>
              <w:t>台</w:t>
            </w:r>
          </w:p>
        </w:tc>
      </w:tr>
    </w:tbl>
    <w:p>
      <w:pPr>
        <w:ind w:firstLine="0" w:firstLineChars="0"/>
        <w:rPr>
          <w:rFonts w:hint="eastAsia"/>
        </w:rPr>
      </w:pPr>
    </w:p>
    <w:p>
      <w:pPr>
        <w:pStyle w:val="4"/>
        <w:rPr>
          <w:rFonts w:hint="eastAsia"/>
        </w:rPr>
      </w:pPr>
      <w:r>
        <w:rPr>
          <w:rFonts w:hint="eastAsia"/>
        </w:rPr>
        <w:t>商务要求</w:t>
      </w:r>
    </w:p>
    <w:p>
      <w:pPr>
        <w:pStyle w:val="6"/>
        <w:rPr>
          <w:rFonts w:hint="eastAsia"/>
        </w:rPr>
      </w:pPr>
      <w:r>
        <w:rPr>
          <w:bCs/>
        </w:rPr>
        <w:t>※</w:t>
      </w:r>
      <w:r>
        <w:t>实施时间</w:t>
      </w:r>
    </w:p>
    <w:p>
      <w:pPr>
        <w:rPr>
          <w:rFonts w:hint="eastAsia"/>
        </w:rPr>
      </w:pPr>
      <w:r>
        <w:t>中标人在合同签订后30个日历日内，完成系统接口对接并正式上线，1</w:t>
      </w:r>
      <w:r>
        <w:rPr>
          <w:rFonts w:hint="eastAsia"/>
        </w:rPr>
        <w:t>2</w:t>
      </w:r>
      <w:r>
        <w:t>0个日历日内完成项目实施并达到验收标准。</w:t>
      </w:r>
    </w:p>
    <w:p>
      <w:pPr>
        <w:pStyle w:val="6"/>
        <w:rPr>
          <w:rFonts w:hint="eastAsia"/>
        </w:rPr>
      </w:pPr>
      <w:r>
        <w:t>实施地点</w:t>
      </w:r>
    </w:p>
    <w:p>
      <w:pPr>
        <w:rPr>
          <w:rFonts w:hint="eastAsia"/>
        </w:rPr>
      </w:pPr>
      <w:r>
        <w:t>重庆市</w:t>
      </w:r>
      <w:r>
        <w:rPr>
          <w:rFonts w:hint="eastAsia"/>
        </w:rPr>
        <w:t>大足区人民</w:t>
      </w:r>
      <w:r>
        <w:t>医院。</w:t>
      </w:r>
    </w:p>
    <w:p>
      <w:pPr>
        <w:pStyle w:val="6"/>
        <w:rPr>
          <w:rFonts w:hint="eastAsia"/>
        </w:rPr>
      </w:pPr>
      <w:r>
        <w:t>验收方式</w:t>
      </w:r>
    </w:p>
    <w:p>
      <w:pPr>
        <w:spacing w:line="400" w:lineRule="exact"/>
        <w:rPr>
          <w:rFonts w:hint="eastAsia" w:cs="宋体"/>
        </w:rPr>
      </w:pPr>
      <w:r>
        <w:rPr>
          <w:rFonts w:hint="eastAsia" w:cs="宋体"/>
        </w:rPr>
        <w:t>供应商应提供项目相关软件、设备的有效验收文件，经采购人认可后，作为验收标准。采购人对项目验收合格后，双方共同签署验收合格证明并加盖公章。验收中发现软件、设备达不到验收标准或合同规定的性能指标，</w:t>
      </w:r>
      <w:r>
        <w:rPr>
          <w:rFonts w:hint="eastAsia" w:cs="宋体"/>
          <w:color w:val="FF0000"/>
        </w:rPr>
        <w:t>成交供应商必须整改相应内容直至满足用户要求</w:t>
      </w:r>
      <w:r>
        <w:rPr>
          <w:rFonts w:hint="eastAsia" w:cs="宋体"/>
        </w:rPr>
        <w:t>，以满足采购人需求。</w:t>
      </w:r>
    </w:p>
    <w:p>
      <w:pPr>
        <w:pStyle w:val="6"/>
        <w:rPr>
          <w:rFonts w:hint="eastAsia"/>
        </w:rPr>
      </w:pPr>
      <w:r>
        <w:rPr>
          <w:bCs/>
        </w:rPr>
        <w:t>※</w:t>
      </w:r>
      <w:r>
        <w:t>考核办法</w:t>
      </w:r>
    </w:p>
    <w:p>
      <w:pPr>
        <w:rPr>
          <w:rFonts w:hint="eastAsia"/>
        </w:rPr>
      </w:pPr>
      <w:r>
        <w:t>1.如中标人未能在项目合同签订后30个日历日内完成接口对接并实现系统上线的，视为逾期上线，采购人按照1000元/天扣除履约保证金；如中标人在项目合同签订后60个日历日内仍未完成接口对接并实现系统上线的，采购人有权终止（解除）合同并扣除中标人全额履约保证金，同时若造成采购人经济损失及法律责任，由中标人承担全部经济损失及法律责任。</w:t>
      </w:r>
    </w:p>
    <w:p>
      <w:pPr>
        <w:rPr>
          <w:rFonts w:hint="eastAsia"/>
        </w:rPr>
      </w:pPr>
      <w:r>
        <w:t>2.如中标人未能在合同签订后1</w:t>
      </w:r>
      <w:r>
        <w:rPr>
          <w:rFonts w:hint="eastAsia"/>
        </w:rPr>
        <w:t>2</w:t>
      </w:r>
      <w:r>
        <w:t>0个日历日内完成项目实施并达到验收标准的，视为逾期，采购人按照1000元/天扣除履约保证金；如中标人在</w:t>
      </w:r>
      <w:r>
        <w:rPr>
          <w:rFonts w:hint="eastAsia"/>
        </w:rPr>
        <w:t>18</w:t>
      </w:r>
      <w:r>
        <w:t>0个日历日内仍未完成项目实施并达到验收标准的，采购人有权终止（解除）合同并扣除中标人全额履约保证金，同时若造成采购人经济损失及法律责任，由中标人承担全部经济损失及法律责任。</w:t>
      </w:r>
    </w:p>
    <w:p>
      <w:pPr>
        <w:rPr>
          <w:rFonts w:hint="eastAsia"/>
        </w:rPr>
      </w:pPr>
      <w:r>
        <w:t>3.除非采购人书面同意，中标人无论任何原因提前终止合同或解除合同，视为中标人违约，采购人将不予退还履约保证金，且中标人应向采购人赔偿由于合同提前终止或解除给采购人产生或造成的一切直接损失。</w:t>
      </w:r>
    </w:p>
    <w:p>
      <w:pPr>
        <w:pStyle w:val="6"/>
        <w:rPr>
          <w:rFonts w:hint="eastAsia"/>
        </w:rPr>
      </w:pPr>
      <w:bookmarkStart w:id="10" w:name="_Toc29436"/>
      <w:bookmarkStart w:id="11" w:name="_Toc19557"/>
      <w:bookmarkStart w:id="12" w:name="_Toc7746"/>
      <w:bookmarkStart w:id="13" w:name="_Toc18152"/>
      <w:bookmarkStart w:id="14" w:name="_Toc22142"/>
      <w:bookmarkStart w:id="15" w:name="_Toc30781"/>
      <w:bookmarkStart w:id="16" w:name="_Toc4036"/>
      <w:bookmarkStart w:id="17" w:name="_Toc21022"/>
      <w:bookmarkStart w:id="18" w:name="_Toc75793510"/>
      <w:bookmarkStart w:id="19" w:name="_Toc13418"/>
      <w:bookmarkStart w:id="20" w:name="_Toc22158"/>
      <w:bookmarkStart w:id="21" w:name="_Toc28679"/>
      <w:bookmarkStart w:id="22" w:name="_Toc29144"/>
      <w:bookmarkStart w:id="23" w:name="_Toc20367"/>
      <w:bookmarkStart w:id="24" w:name="_Toc1484"/>
      <w:bookmarkStart w:id="25" w:name="_Toc8592"/>
      <w:bookmarkStart w:id="26" w:name="_Toc106030386"/>
      <w:bookmarkStart w:id="27" w:name="_Toc267320050"/>
      <w:r>
        <w:rPr>
          <w:bCs/>
        </w:rPr>
        <w:t>※</w:t>
      </w:r>
      <w:r>
        <w:t>报价要求</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rPr>
          <w:rFonts w:hint="eastAsia"/>
        </w:rPr>
      </w:pPr>
      <w:r>
        <w:t>本次报价须为人民币报价，包含三方系统接口费、人工费、安装费、住宿费、餐饮费、保险费、税金费用等完成项目实施和服务的所有价格。因中标人自身原因造成漏报、少报皆由其自行承担责任，采购人不再补偿。</w:t>
      </w:r>
    </w:p>
    <w:bookmarkEnd w:id="27"/>
    <w:p>
      <w:pPr>
        <w:pStyle w:val="6"/>
        <w:rPr>
          <w:rFonts w:hint="eastAsia"/>
        </w:rPr>
      </w:pPr>
      <w:bookmarkStart w:id="28" w:name="_Toc23903"/>
      <w:bookmarkStart w:id="29" w:name="_Toc1450"/>
      <w:bookmarkStart w:id="30" w:name="_Toc3465"/>
      <w:bookmarkStart w:id="31" w:name="_Toc20887"/>
      <w:bookmarkStart w:id="32" w:name="_Toc2821"/>
      <w:bookmarkStart w:id="33" w:name="_Toc15677"/>
      <w:bookmarkStart w:id="34" w:name="_Toc2244"/>
      <w:bookmarkStart w:id="35" w:name="_Toc32313"/>
      <w:bookmarkStart w:id="36" w:name="_Toc75793511"/>
      <w:bookmarkStart w:id="37" w:name="_Toc4774"/>
      <w:bookmarkStart w:id="38" w:name="_Toc4252"/>
      <w:bookmarkStart w:id="39" w:name="_Toc106030387"/>
      <w:bookmarkStart w:id="40" w:name="_Toc27382"/>
      <w:bookmarkStart w:id="41" w:name="_Toc14177"/>
      <w:bookmarkStart w:id="42" w:name="_Toc16693"/>
      <w:bookmarkStart w:id="43" w:name="_Toc15096"/>
      <w:bookmarkStart w:id="44" w:name="_Toc18007"/>
      <w:bookmarkStart w:id="45" w:name="_Toc25144"/>
      <w:bookmarkStart w:id="46" w:name="_Toc75793512"/>
      <w:bookmarkStart w:id="47" w:name="_Toc106030388"/>
      <w:bookmarkStart w:id="48" w:name="_Toc30442"/>
      <w:bookmarkStart w:id="49" w:name="_Toc25552"/>
      <w:bookmarkStart w:id="50" w:name="_Toc25745"/>
      <w:bookmarkStart w:id="51" w:name="_Toc32722"/>
      <w:bookmarkStart w:id="52" w:name="_Toc5174"/>
      <w:bookmarkStart w:id="53" w:name="_Toc19350"/>
      <w:bookmarkStart w:id="54" w:name="_Toc25932"/>
      <w:bookmarkStart w:id="55" w:name="_Toc12285"/>
      <w:bookmarkStart w:id="56" w:name="_Toc8955"/>
      <w:bookmarkStart w:id="57" w:name="_Toc22695"/>
      <w:bookmarkStart w:id="58" w:name="_Toc29286"/>
      <w:bookmarkStart w:id="59" w:name="_Toc267320051"/>
      <w:bookmarkStart w:id="60" w:name="_Toc21888"/>
      <w:bookmarkStart w:id="61" w:name="_Toc1008"/>
      <w:r>
        <w:rPr>
          <w:bCs/>
        </w:rPr>
        <w: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付款方式</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rPr>
          <w:rFonts w:hint="eastAsia"/>
        </w:rPr>
      </w:pPr>
      <w:r>
        <w:t>1</w:t>
      </w:r>
      <w:r>
        <w:rPr>
          <w:color w:val="FF0000"/>
        </w:rPr>
        <w:t>.中标人在合同签订时，向采购人交纳合同金额10%的履约保证金（以支票、汇票、本票或者金融机构、担保机构出具的保函等非现金形式提交）。系统整体验收合格，采购人无息退还履约保证金（或保函）</w:t>
      </w:r>
      <w:r>
        <w:t>。</w:t>
      </w:r>
    </w:p>
    <w:p>
      <w:pPr>
        <w:rPr>
          <w:rFonts w:hint="eastAsia"/>
          <w:color w:val="FF0000"/>
        </w:rPr>
      </w:pPr>
      <w:r>
        <w:rPr>
          <w:color w:val="FF0000"/>
        </w:rPr>
        <w:t>2.合同签订后中标人安排工程师进场实施，在完成系统部署、接口开发等工作并在采购人签署系统上线确认单后，采购人向中标人支付合同总额的</w:t>
      </w:r>
      <w:r>
        <w:rPr>
          <w:rFonts w:hint="eastAsia"/>
          <w:color w:val="FF0000"/>
        </w:rPr>
        <w:t>35</w:t>
      </w:r>
      <w:r>
        <w:rPr>
          <w:color w:val="FF0000"/>
        </w:rPr>
        <w:t>%；</w:t>
      </w:r>
    </w:p>
    <w:p>
      <w:pPr>
        <w:rPr>
          <w:rFonts w:hint="eastAsia"/>
          <w:color w:val="FF0000"/>
        </w:rPr>
      </w:pPr>
      <w:r>
        <w:rPr>
          <w:color w:val="FF0000"/>
        </w:rPr>
        <w:t>3.项目验收合格后，中标人提交验收相关材料，采购人向中标人支付合同总额的</w:t>
      </w:r>
      <w:r>
        <w:rPr>
          <w:rFonts w:hint="eastAsia"/>
          <w:color w:val="FF0000"/>
        </w:rPr>
        <w:t>30</w:t>
      </w:r>
      <w:r>
        <w:rPr>
          <w:color w:val="FF0000"/>
        </w:rPr>
        <w:t>%；</w:t>
      </w:r>
    </w:p>
    <w:p>
      <w:pPr>
        <w:rPr>
          <w:rFonts w:hint="eastAsia"/>
          <w:color w:val="FF0000"/>
        </w:rPr>
      </w:pPr>
      <w:r>
        <w:rPr>
          <w:rFonts w:hint="eastAsia"/>
          <w:color w:val="FF0000"/>
        </w:rPr>
        <w:t>4、</w:t>
      </w:r>
      <w:r>
        <w:rPr>
          <w:color w:val="FF0000"/>
        </w:rPr>
        <w:t>项目验收合格</w:t>
      </w:r>
      <w:r>
        <w:rPr>
          <w:rFonts w:hint="eastAsia"/>
          <w:color w:val="FF0000"/>
        </w:rPr>
        <w:t>且正常运行六个月后</w:t>
      </w:r>
      <w:bookmarkStart w:id="100" w:name="_GoBack"/>
      <w:bookmarkEnd w:id="100"/>
      <w:r>
        <w:rPr>
          <w:rFonts w:hint="eastAsia"/>
          <w:color w:val="FF0000"/>
        </w:rPr>
        <w:t>，</w:t>
      </w:r>
      <w:r>
        <w:rPr>
          <w:color w:val="FF0000"/>
        </w:rPr>
        <w:t>中标人提交验收相关材料，采购人向中标人支付合同总额的</w:t>
      </w:r>
      <w:r>
        <w:rPr>
          <w:rFonts w:hint="eastAsia"/>
          <w:color w:val="FF0000"/>
        </w:rPr>
        <w:t>30</w:t>
      </w:r>
      <w:r>
        <w:rPr>
          <w:color w:val="FF0000"/>
        </w:rPr>
        <w:t>%；</w:t>
      </w:r>
    </w:p>
    <w:p>
      <w:pPr>
        <w:rPr>
          <w:rFonts w:hint="eastAsia"/>
          <w:color w:val="FF0000"/>
        </w:rPr>
      </w:pPr>
      <w:r>
        <w:rPr>
          <w:rFonts w:hint="eastAsia"/>
          <w:color w:val="FF0000"/>
        </w:rPr>
        <w:t>5</w:t>
      </w:r>
      <w:r>
        <w:rPr>
          <w:color w:val="FF0000"/>
        </w:rPr>
        <w:t>.</w:t>
      </w:r>
      <w:r>
        <w:rPr>
          <w:rFonts w:hint="eastAsia"/>
          <w:color w:val="FF0000"/>
        </w:rPr>
        <w:t>免费</w:t>
      </w:r>
      <w:r>
        <w:rPr>
          <w:color w:val="FF0000"/>
        </w:rPr>
        <w:t>质保期到后，中标人提交相关材料，采购人向中标人支付合同总额的5%，完成项目合同款项的全部支付。</w:t>
      </w:r>
    </w:p>
    <w:p>
      <w:pPr>
        <w:pStyle w:val="6"/>
        <w:rPr>
          <w:rFonts w:hint="eastAsia"/>
        </w:rPr>
      </w:pPr>
      <w:bookmarkStart w:id="62" w:name="_Toc9440"/>
      <w:r>
        <w:t>质量保证及售后服务</w:t>
      </w:r>
      <w:bookmarkEnd w:id="62"/>
    </w:p>
    <w:p>
      <w:pPr>
        <w:rPr>
          <w:rFonts w:hint="eastAsia"/>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（一）产品质量保证期</w:t>
      </w:r>
    </w:p>
    <w:p>
      <w:pPr>
        <w:rPr>
          <w:rFonts w:hint="eastAsia"/>
          <w:color w:val="0D0D0D" w:themeColor="text1" w:themeTint="F2"/>
          <w14:textFill>
            <w14:solidFill>
              <w14:schemeClr w14:val="tx1">
                <w14:lumMod w14:val="95000"/>
                <w14:lumOff w14:val="5000"/>
              </w14:schemeClr>
            </w14:solidFill>
          </w14:textFill>
        </w:rPr>
      </w:pPr>
      <w:r>
        <w:rPr>
          <w:color w:val="FF0000"/>
        </w:rPr>
        <w:t>质保期为：验收通过后，免费质保期</w:t>
      </w:r>
      <w:r>
        <w:rPr>
          <w:rFonts w:hint="eastAsia"/>
          <w:color w:val="FF0000"/>
        </w:rPr>
        <w:t>5</w:t>
      </w:r>
      <w:r>
        <w:rPr>
          <w:color w:val="FF0000"/>
        </w:rPr>
        <w:t>年</w:t>
      </w:r>
      <w:r>
        <w:rPr>
          <w:rFonts w:hint="eastAsia"/>
          <w:color w:val="FF0000"/>
        </w:rPr>
        <w:t>（含软件及硬件）</w:t>
      </w:r>
      <w:r>
        <w:rPr>
          <w:color w:val="0D0D0D" w:themeColor="text1" w:themeTint="F2"/>
          <w14:textFill>
            <w14:solidFill>
              <w14:schemeClr w14:val="tx1">
                <w14:lumMod w14:val="95000"/>
                <w14:lumOff w14:val="5000"/>
              </w14:schemeClr>
            </w14:solidFill>
          </w14:textFill>
        </w:rPr>
        <w:t>。</w:t>
      </w:r>
    </w:p>
    <w:p>
      <w:pPr>
        <w:rPr>
          <w:rFonts w:hint="eastAsia"/>
        </w:rPr>
      </w:pPr>
      <w:r>
        <w:t>（二）售后服务内容</w:t>
      </w:r>
    </w:p>
    <w:p>
      <w:pPr>
        <w:rPr>
          <w:rFonts w:hint="eastAsia"/>
        </w:rPr>
      </w:pPr>
      <w:r>
        <w:t>1.中标人和制造商在接口质量保证期内应当为采购人提供以下技术支持和服务：</w:t>
      </w:r>
    </w:p>
    <w:p>
      <w:pPr>
        <w:rPr>
          <w:rFonts w:hint="eastAsia"/>
        </w:rPr>
      </w:pPr>
      <w:r>
        <w:t>1.1电话咨询</w:t>
      </w:r>
    </w:p>
    <w:p>
      <w:pPr>
        <w:rPr>
          <w:rFonts w:hint="eastAsia"/>
        </w:rPr>
      </w:pPr>
      <w:r>
        <w:t>中标人和制造商应当为采购人提供技术援助电话，解答采购人在使用中遇到的问题，及时为采购人提出解决问题的建议。</w:t>
      </w:r>
    </w:p>
    <w:p>
      <w:pPr>
        <w:rPr>
          <w:rFonts w:hint="eastAsia"/>
        </w:rPr>
      </w:pPr>
      <w:r>
        <w:t>1.2现场响应</w:t>
      </w:r>
    </w:p>
    <w:p>
      <w:pPr>
        <w:rPr>
          <w:rFonts w:hint="eastAsia"/>
        </w:rPr>
      </w:pPr>
      <w:r>
        <w:t>采购人遇到使用及技术问题，电话咨询不能解决的，中标人和制造商应在2小时内到达现场进行处理，确保产品正常工作。</w:t>
      </w:r>
    </w:p>
    <w:p>
      <w:pPr>
        <w:rPr>
          <w:rFonts w:hint="eastAsia"/>
        </w:rPr>
      </w:pPr>
      <w:r>
        <w:t>1.3技术升级</w:t>
      </w:r>
    </w:p>
    <w:p>
      <w:pPr>
        <w:rPr>
          <w:rFonts w:hint="eastAsia"/>
        </w:rPr>
      </w:pPr>
      <w:r>
        <w:t>在质保期内，如果中标人和制造商的产品技术升级，中标人应及时通知采购人，如采购人有相应要求，中标人和制造商应对采购人购买的产品进行升级服务。</w:t>
      </w:r>
    </w:p>
    <w:p>
      <w:pPr>
        <w:rPr>
          <w:rFonts w:hint="eastAsia"/>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2.质保期外服务要求</w:t>
      </w:r>
    </w:p>
    <w:p>
      <w:pPr>
        <w:rPr>
          <w:rFonts w:hint="eastAsia"/>
          <w:color w:val="0D0D0D" w:themeColor="text1" w:themeTint="F2"/>
          <w14:textFill>
            <w14:solidFill>
              <w14:schemeClr w14:val="tx1">
                <w14:lumMod w14:val="95000"/>
                <w14:lumOff w14:val="5000"/>
              </w14:schemeClr>
            </w14:solidFill>
          </w14:textFill>
        </w:rPr>
      </w:pPr>
      <w:r>
        <w:rPr>
          <w:rFonts w:hint="eastAsia" w:cs="宋体"/>
          <w:color w:val="FF0000"/>
          <w:kern w:val="0"/>
        </w:rPr>
        <w:t>免费质保期后，在后续的维保过程中软件部分每年将以不超过本合同软件总金额</w:t>
      </w:r>
      <w:r>
        <w:rPr>
          <w:rFonts w:hint="eastAsia" w:cs="宋体"/>
          <w:b/>
          <w:bCs/>
          <w:color w:val="FF0000"/>
          <w:kern w:val="0"/>
        </w:rPr>
        <w:t>5%</w:t>
      </w:r>
      <w:r>
        <w:rPr>
          <w:rFonts w:hint="eastAsia" w:cs="宋体"/>
          <w:color w:val="FF0000"/>
          <w:kern w:val="0"/>
        </w:rPr>
        <w:t>的优惠价格提供售后服务</w:t>
      </w:r>
      <w:r>
        <w:rPr>
          <w:color w:val="FF0000"/>
        </w:rPr>
        <w:t>。</w:t>
      </w:r>
    </w:p>
    <w:p>
      <w:pPr>
        <w:rPr>
          <w:rFonts w:hint="eastAsia"/>
        </w:rPr>
      </w:pPr>
      <w:r>
        <w:t>（三）备品备件及易损件</w:t>
      </w:r>
    </w:p>
    <w:p>
      <w:pPr>
        <w:rPr>
          <w:rFonts w:hint="eastAsia"/>
        </w:rPr>
      </w:pPr>
      <w:r>
        <w:t>中标人和制造商售后服务中，维修使用的备品备件及易损件应为原厂配件，未经采购人同意不得使用非原厂配件，常用的、容易损坏的备品备件及易损件的价格清单须在投标文件中列出。</w:t>
      </w:r>
    </w:p>
    <w:p>
      <w:pPr>
        <w:pStyle w:val="6"/>
        <w:rPr>
          <w:rFonts w:hint="eastAsia"/>
        </w:rPr>
      </w:pPr>
      <w:bookmarkStart w:id="63" w:name="_Toc3565"/>
      <w:bookmarkStart w:id="64" w:name="_Toc4897"/>
      <w:bookmarkStart w:id="65" w:name="_Toc20369"/>
      <w:bookmarkStart w:id="66" w:name="_Toc106030389"/>
      <w:bookmarkStart w:id="67" w:name="_Toc9213"/>
      <w:bookmarkStart w:id="68" w:name="_Toc267320052"/>
      <w:bookmarkStart w:id="69" w:name="_Toc3311"/>
      <w:bookmarkStart w:id="70" w:name="_Toc4339"/>
      <w:bookmarkStart w:id="71" w:name="_Toc28660"/>
      <w:bookmarkStart w:id="72" w:name="_Toc22431"/>
      <w:bookmarkStart w:id="73" w:name="_Toc25410"/>
      <w:bookmarkStart w:id="74" w:name="_Toc28056"/>
      <w:bookmarkStart w:id="75" w:name="_Toc75793513"/>
      <w:bookmarkStart w:id="76" w:name="_Toc11060"/>
      <w:bookmarkStart w:id="77" w:name="_Toc18959"/>
      <w:bookmarkStart w:id="78" w:name="_Toc11399"/>
      <w:bookmarkStart w:id="79" w:name="_Toc27144"/>
      <w:bookmarkStart w:id="80" w:name="_Toc10105"/>
      <w:r>
        <w:t>知识产权</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rPr>
          <w:rFonts w:hint="eastAsia"/>
        </w:rPr>
      </w:pPr>
      <w:r>
        <w:t>采购人在中华人民共和国境内使用投标人提供的货物及服务时免受第三方提出的侵犯其专利权或其它知识产权的起诉。如果第三方提出侵权指控，中标人应承担由此而引起的一切法律责任和费用。</w:t>
      </w:r>
    </w:p>
    <w:p>
      <w:pPr>
        <w:pStyle w:val="6"/>
        <w:rPr>
          <w:rFonts w:hint="eastAsia"/>
        </w:rPr>
      </w:pPr>
      <w:bookmarkStart w:id="81" w:name="_Toc14145"/>
      <w:bookmarkStart w:id="82" w:name="_Toc15109"/>
      <w:bookmarkStart w:id="83" w:name="_Toc25464"/>
      <w:bookmarkStart w:id="84" w:name="_Toc27637"/>
      <w:bookmarkStart w:id="85" w:name="_Toc26926"/>
      <w:bookmarkStart w:id="86" w:name="_Toc3404"/>
      <w:bookmarkStart w:id="87" w:name="_Toc14096"/>
      <w:bookmarkStart w:id="88" w:name="_Toc1949"/>
      <w:bookmarkStart w:id="89" w:name="_Toc4784"/>
      <w:bookmarkStart w:id="90" w:name="_Toc1026"/>
      <w:bookmarkStart w:id="91" w:name="_Toc267320053"/>
      <w:bookmarkStart w:id="92" w:name="_Toc7629"/>
      <w:bookmarkStart w:id="93" w:name="_Toc75793514"/>
      <w:bookmarkStart w:id="94" w:name="_Toc31803"/>
      <w:bookmarkStart w:id="95" w:name="_Toc106030390"/>
      <w:bookmarkStart w:id="96" w:name="_Toc15548"/>
      <w:bookmarkStart w:id="97" w:name="_Toc29615"/>
      <w:bookmarkStart w:id="98" w:name="_Toc15159"/>
      <w:r>
        <w:t>培训</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rPr>
          <w:rFonts w:hint="eastAsia"/>
        </w:rPr>
      </w:pPr>
      <w:r>
        <w:t>投标人须在项目完成后提供免费的培训服务，使采购人可以熟练的使用该软件系统。</w:t>
      </w:r>
    </w:p>
    <w:p>
      <w:pPr>
        <w:pStyle w:val="4"/>
        <w:rPr>
          <w:rFonts w:hint="eastAsia"/>
        </w:rPr>
      </w:pPr>
      <w:r>
        <w:rPr>
          <w:rFonts w:hint="eastAsia"/>
        </w:rPr>
        <w:t>评分办法</w:t>
      </w:r>
    </w:p>
    <w:p>
      <w:pPr>
        <w:ind w:firstLine="0" w:firstLineChars="0"/>
        <w:rPr>
          <w:rFonts w:hint="eastAsia"/>
        </w:rPr>
      </w:pPr>
    </w:p>
    <w:tbl>
      <w:tblPr>
        <w:tblStyle w:val="24"/>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1035"/>
        <w:gridCol w:w="3750"/>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5" w:type="dxa"/>
            <w:vAlign w:val="center"/>
          </w:tcPr>
          <w:p>
            <w:pPr>
              <w:snapToGrid w:val="0"/>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1462" w:type="dxa"/>
            <w:vAlign w:val="center"/>
          </w:tcPr>
          <w:p>
            <w:pPr>
              <w:snapToGrid w:val="0"/>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评分因素</w:t>
            </w:r>
          </w:p>
          <w:p>
            <w:pPr>
              <w:snapToGrid w:val="0"/>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及权重</w:t>
            </w:r>
          </w:p>
        </w:tc>
        <w:tc>
          <w:tcPr>
            <w:tcW w:w="1035" w:type="dxa"/>
            <w:vAlign w:val="center"/>
          </w:tcPr>
          <w:p>
            <w:pPr>
              <w:snapToGrid w:val="0"/>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分值</w:t>
            </w:r>
          </w:p>
        </w:tc>
        <w:tc>
          <w:tcPr>
            <w:tcW w:w="3750" w:type="dxa"/>
            <w:vAlign w:val="center"/>
          </w:tcPr>
          <w:p>
            <w:pPr>
              <w:snapToGrid w:val="0"/>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评分标准</w:t>
            </w:r>
          </w:p>
        </w:tc>
        <w:tc>
          <w:tcPr>
            <w:tcW w:w="2546" w:type="dxa"/>
            <w:vAlign w:val="center"/>
          </w:tcPr>
          <w:p>
            <w:pPr>
              <w:snapToGrid w:val="0"/>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835" w:type="dxa"/>
            <w:vAlign w:val="center"/>
          </w:tcPr>
          <w:p>
            <w:pPr>
              <w:snapToGrid w:val="0"/>
              <w:ind w:firstLine="0" w:firstLineChars="0"/>
              <w:jc w:val="center"/>
              <w:rPr>
                <w:rFonts w:hint="eastAsia" w:ascii="仿宋" w:hAnsi="仿宋" w:eastAsia="仿宋" w:cs="仿宋"/>
                <w:sz w:val="21"/>
                <w:szCs w:val="21"/>
              </w:rPr>
            </w:pPr>
            <w:r>
              <w:rPr>
                <w:rFonts w:hint="eastAsia" w:ascii="仿宋" w:hAnsi="仿宋" w:eastAsia="仿宋" w:cs="仿宋"/>
                <w:sz w:val="21"/>
                <w:szCs w:val="21"/>
              </w:rPr>
              <w:t>1</w:t>
            </w:r>
          </w:p>
        </w:tc>
        <w:tc>
          <w:tcPr>
            <w:tcW w:w="1462" w:type="dxa"/>
            <w:vAlign w:val="center"/>
          </w:tcPr>
          <w:p>
            <w:pPr>
              <w:ind w:firstLine="0" w:firstLineChars="0"/>
              <w:jc w:val="center"/>
              <w:rPr>
                <w:rFonts w:hint="eastAsia" w:ascii="仿宋" w:hAnsi="仿宋" w:eastAsia="仿宋" w:cs="仿宋"/>
                <w:sz w:val="21"/>
                <w:szCs w:val="21"/>
              </w:rPr>
            </w:pPr>
            <w:r>
              <w:rPr>
                <w:rFonts w:hint="eastAsia" w:ascii="仿宋" w:hAnsi="仿宋" w:eastAsia="仿宋" w:cs="仿宋"/>
                <w:sz w:val="21"/>
                <w:szCs w:val="21"/>
              </w:rPr>
              <w:t>磋商</w:t>
            </w:r>
          </w:p>
          <w:p>
            <w:pPr>
              <w:ind w:firstLine="0" w:firstLineChars="0"/>
              <w:jc w:val="center"/>
              <w:rPr>
                <w:rFonts w:hint="eastAsia" w:ascii="仿宋" w:hAnsi="仿宋" w:eastAsia="仿宋" w:cs="仿宋"/>
                <w:sz w:val="21"/>
                <w:szCs w:val="21"/>
              </w:rPr>
            </w:pPr>
            <w:r>
              <w:rPr>
                <w:rFonts w:hint="eastAsia" w:ascii="仿宋" w:hAnsi="仿宋" w:eastAsia="仿宋" w:cs="仿宋"/>
                <w:sz w:val="21"/>
                <w:szCs w:val="21"/>
              </w:rPr>
              <w:t>报价</w:t>
            </w:r>
          </w:p>
          <w:p>
            <w:pPr>
              <w:ind w:firstLine="0" w:firstLineChars="0"/>
              <w:jc w:val="center"/>
              <w:rPr>
                <w:rFonts w:hint="eastAsia" w:ascii="仿宋" w:hAnsi="仿宋" w:eastAsia="仿宋" w:cs="仿宋"/>
                <w:sz w:val="21"/>
                <w:szCs w:val="21"/>
              </w:rPr>
            </w:pPr>
            <w:r>
              <w:rPr>
                <w:rFonts w:hint="eastAsia" w:ascii="仿宋" w:hAnsi="仿宋" w:eastAsia="仿宋" w:cs="仿宋"/>
                <w:sz w:val="21"/>
                <w:szCs w:val="21"/>
              </w:rPr>
              <w:t>（30%）</w:t>
            </w:r>
          </w:p>
        </w:tc>
        <w:tc>
          <w:tcPr>
            <w:tcW w:w="1035" w:type="dxa"/>
            <w:vAlign w:val="center"/>
          </w:tcPr>
          <w:p>
            <w:pPr>
              <w:ind w:firstLine="0" w:firstLineChars="0"/>
              <w:jc w:val="center"/>
              <w:rPr>
                <w:rFonts w:hint="eastAsia" w:ascii="仿宋" w:hAnsi="仿宋" w:eastAsia="仿宋" w:cs="仿宋"/>
                <w:sz w:val="21"/>
                <w:szCs w:val="21"/>
              </w:rPr>
            </w:pPr>
            <w:r>
              <w:rPr>
                <w:rFonts w:hint="eastAsia" w:ascii="仿宋" w:hAnsi="仿宋" w:eastAsia="仿宋" w:cs="仿宋"/>
                <w:sz w:val="21"/>
                <w:szCs w:val="21"/>
              </w:rPr>
              <w:t>30分</w:t>
            </w:r>
          </w:p>
        </w:tc>
        <w:tc>
          <w:tcPr>
            <w:tcW w:w="3750" w:type="dxa"/>
            <w:vAlign w:val="center"/>
          </w:tcPr>
          <w:p>
            <w:pPr>
              <w:adjustRightInd w:val="0"/>
              <w:snapToGrid w:val="0"/>
              <w:ind w:firstLine="0" w:firstLineChars="0"/>
              <w:rPr>
                <w:rFonts w:hint="eastAsia" w:ascii="仿宋" w:hAnsi="仿宋" w:eastAsia="仿宋" w:cs="仿宋"/>
                <w:sz w:val="21"/>
                <w:szCs w:val="21"/>
              </w:rPr>
            </w:pPr>
            <w:r>
              <w:rPr>
                <w:rFonts w:hint="eastAsia" w:ascii="仿宋" w:hAnsi="仿宋" w:eastAsia="仿宋" w:cs="仿宋"/>
                <w:sz w:val="21"/>
                <w:szCs w:val="21"/>
              </w:rPr>
              <w:t>满足资格性、符合性要求且最后报价最低的供应商的价格为磋商基准价，其价格分为满分。其他供应商的价格分统一按照下列公式计算：</w:t>
            </w:r>
          </w:p>
          <w:p>
            <w:pPr>
              <w:adjustRightInd w:val="0"/>
              <w:snapToGrid w:val="0"/>
              <w:ind w:firstLine="0" w:firstLineChars="0"/>
              <w:rPr>
                <w:rFonts w:hint="eastAsia" w:ascii="仿宋" w:hAnsi="仿宋" w:eastAsia="仿宋" w:cs="仿宋"/>
                <w:sz w:val="21"/>
                <w:szCs w:val="21"/>
              </w:rPr>
            </w:pPr>
            <w:r>
              <w:rPr>
                <w:rFonts w:hint="eastAsia" w:ascii="仿宋" w:hAnsi="仿宋" w:eastAsia="仿宋" w:cs="仿宋"/>
                <w:sz w:val="21"/>
                <w:szCs w:val="21"/>
              </w:rPr>
              <w:t>磋商报价得分=（磋商基准价/最后磋商报价）×价格权值×100，</w:t>
            </w:r>
          </w:p>
          <w:p>
            <w:pPr>
              <w:adjustRightInd w:val="0"/>
              <w:snapToGrid w:val="0"/>
              <w:ind w:firstLine="0" w:firstLineChars="0"/>
              <w:rPr>
                <w:rFonts w:hint="eastAsia" w:ascii="仿宋" w:hAnsi="仿宋" w:eastAsia="仿宋" w:cs="仿宋"/>
                <w:sz w:val="21"/>
                <w:szCs w:val="21"/>
              </w:rPr>
            </w:pPr>
            <w:r>
              <w:rPr>
                <w:rFonts w:hint="eastAsia" w:ascii="仿宋" w:hAnsi="仿宋" w:eastAsia="仿宋" w:cs="仿宋"/>
                <w:sz w:val="21"/>
                <w:szCs w:val="21"/>
              </w:rPr>
              <w:t>注：得分保留两位小数点，第三位四舍五入。</w:t>
            </w:r>
          </w:p>
        </w:tc>
        <w:tc>
          <w:tcPr>
            <w:tcW w:w="2546" w:type="dxa"/>
            <w:vAlign w:val="center"/>
          </w:tcPr>
          <w:p>
            <w:pPr>
              <w:snapToGrid w:val="0"/>
              <w:ind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5" w:type="dxa"/>
            <w:vMerge w:val="restart"/>
            <w:vAlign w:val="center"/>
          </w:tcPr>
          <w:p>
            <w:pPr>
              <w:snapToGrid w:val="0"/>
              <w:ind w:firstLine="0" w:firstLineChars="0"/>
              <w:jc w:val="center"/>
              <w:rPr>
                <w:rFonts w:hint="eastAsia" w:ascii="仿宋" w:hAnsi="仿宋" w:eastAsia="仿宋" w:cs="仿宋"/>
                <w:sz w:val="21"/>
                <w:szCs w:val="21"/>
              </w:rPr>
            </w:pPr>
            <w:r>
              <w:rPr>
                <w:rFonts w:hint="eastAsia" w:ascii="仿宋" w:hAnsi="仿宋" w:eastAsia="仿宋" w:cs="仿宋"/>
                <w:sz w:val="21"/>
                <w:szCs w:val="21"/>
              </w:rPr>
              <w:t>2</w:t>
            </w:r>
          </w:p>
        </w:tc>
        <w:tc>
          <w:tcPr>
            <w:tcW w:w="1462" w:type="dxa"/>
            <w:vMerge w:val="restart"/>
            <w:vAlign w:val="center"/>
          </w:tcPr>
          <w:p>
            <w:pPr>
              <w:snapToGrid w:val="0"/>
              <w:ind w:firstLine="0" w:firstLineChars="0"/>
              <w:jc w:val="center"/>
              <w:rPr>
                <w:rFonts w:hint="eastAsia" w:ascii="仿宋" w:hAnsi="仿宋" w:eastAsia="仿宋" w:cs="仿宋"/>
                <w:sz w:val="21"/>
                <w:szCs w:val="21"/>
              </w:rPr>
            </w:pPr>
            <w:r>
              <w:rPr>
                <w:rFonts w:hint="eastAsia" w:ascii="仿宋" w:hAnsi="仿宋" w:eastAsia="仿宋" w:cs="仿宋"/>
                <w:sz w:val="21"/>
                <w:szCs w:val="21"/>
              </w:rPr>
              <w:t>技术部分</w:t>
            </w:r>
          </w:p>
          <w:p>
            <w:pPr>
              <w:snapToGrid w:val="0"/>
              <w:ind w:firstLine="0" w:firstLineChars="0"/>
              <w:jc w:val="center"/>
              <w:rPr>
                <w:rFonts w:hint="eastAsia" w:ascii="仿宋" w:hAnsi="仿宋" w:eastAsia="仿宋" w:cs="仿宋"/>
                <w:sz w:val="21"/>
                <w:szCs w:val="21"/>
              </w:rPr>
            </w:pPr>
            <w:r>
              <w:rPr>
                <w:rFonts w:hint="eastAsia" w:ascii="仿宋" w:hAnsi="仿宋" w:eastAsia="仿宋" w:cs="仿宋"/>
                <w:sz w:val="21"/>
                <w:szCs w:val="21"/>
              </w:rPr>
              <w:t>（60%）</w:t>
            </w:r>
          </w:p>
        </w:tc>
        <w:tc>
          <w:tcPr>
            <w:tcW w:w="1035" w:type="dxa"/>
            <w:vAlign w:val="center"/>
          </w:tcPr>
          <w:p>
            <w:pPr>
              <w:snapToGrid w:val="0"/>
              <w:ind w:firstLine="0" w:firstLineChars="0"/>
              <w:jc w:val="center"/>
              <w:rPr>
                <w:rFonts w:hint="eastAsia" w:ascii="仿宋" w:hAnsi="仿宋" w:eastAsia="仿宋" w:cs="仿宋"/>
                <w:sz w:val="21"/>
                <w:szCs w:val="21"/>
              </w:rPr>
            </w:pPr>
            <w:r>
              <w:rPr>
                <w:rFonts w:hint="eastAsia" w:ascii="仿宋" w:hAnsi="仿宋" w:eastAsia="仿宋" w:cs="仿宋"/>
                <w:sz w:val="21"/>
                <w:szCs w:val="21"/>
              </w:rPr>
              <w:t>技术参数（20分）</w:t>
            </w:r>
          </w:p>
        </w:tc>
        <w:tc>
          <w:tcPr>
            <w:tcW w:w="3750" w:type="dxa"/>
            <w:vAlign w:val="center"/>
          </w:tcPr>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1.起评分：</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有效供应商的起评分为20分。</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2.扣分条款：</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2.1响应文件应答有一条不满足磋商文件标注“▲”的技术需求的，从起评分中扣除1分，扣完为止。</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2.2响应文件应答有一条不满足磋商文件未标注符号的技术需求的，从起评分中扣除0.5分，扣完为止。</w:t>
            </w:r>
          </w:p>
        </w:tc>
        <w:tc>
          <w:tcPr>
            <w:tcW w:w="2546" w:type="dxa"/>
            <w:vAlign w:val="center"/>
          </w:tcPr>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标注“▲”的为重要指标，需提供系统截图，评委根据截图内容判断功能的符合程度。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835" w:type="dxa"/>
            <w:vMerge w:val="continue"/>
            <w:vAlign w:val="center"/>
          </w:tcPr>
          <w:p>
            <w:pPr>
              <w:snapToGrid w:val="0"/>
              <w:ind w:firstLine="0" w:firstLineChars="0"/>
              <w:jc w:val="left"/>
              <w:rPr>
                <w:rFonts w:hint="eastAsia" w:ascii="仿宋" w:hAnsi="仿宋" w:eastAsia="仿宋" w:cs="仿宋"/>
                <w:sz w:val="21"/>
                <w:szCs w:val="21"/>
              </w:rPr>
            </w:pPr>
          </w:p>
        </w:tc>
        <w:tc>
          <w:tcPr>
            <w:tcW w:w="1462" w:type="dxa"/>
            <w:vMerge w:val="continue"/>
            <w:vAlign w:val="center"/>
          </w:tcPr>
          <w:p>
            <w:pPr>
              <w:snapToGrid w:val="0"/>
              <w:ind w:firstLine="0" w:firstLineChars="0"/>
              <w:jc w:val="left"/>
              <w:rPr>
                <w:rFonts w:hint="eastAsia" w:ascii="仿宋" w:hAnsi="仿宋" w:eastAsia="仿宋" w:cs="仿宋"/>
                <w:sz w:val="21"/>
                <w:szCs w:val="21"/>
              </w:rPr>
            </w:pPr>
          </w:p>
        </w:tc>
        <w:tc>
          <w:tcPr>
            <w:tcW w:w="1035" w:type="dxa"/>
            <w:vAlign w:val="center"/>
          </w:tcPr>
          <w:p>
            <w:pPr>
              <w:snapToGrid w:val="0"/>
              <w:ind w:firstLine="0" w:firstLineChars="0"/>
              <w:jc w:val="center"/>
              <w:rPr>
                <w:rFonts w:hint="eastAsia" w:ascii="仿宋" w:hAnsi="仿宋" w:eastAsia="仿宋" w:cs="仿宋"/>
                <w:sz w:val="21"/>
                <w:szCs w:val="21"/>
              </w:rPr>
            </w:pPr>
            <w:r>
              <w:rPr>
                <w:rFonts w:hint="eastAsia" w:ascii="仿宋" w:hAnsi="仿宋" w:eastAsia="仿宋" w:cs="仿宋"/>
                <w:sz w:val="21"/>
                <w:szCs w:val="21"/>
              </w:rPr>
              <w:t>系统演示（25分）</w:t>
            </w:r>
          </w:p>
        </w:tc>
        <w:tc>
          <w:tcPr>
            <w:tcW w:w="3750" w:type="dxa"/>
            <w:vAlign w:val="center"/>
          </w:tcPr>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1.起评分：</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有效供应商的起评分为0分。</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2.得分条款：</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供应商须对本竞争性磋商文件第二篇中带“</w:t>
            </w:r>
            <w:bookmarkStart w:id="99" w:name="OLE_LINK12"/>
            <w:r>
              <w:rPr>
                <w:rFonts w:hint="eastAsia" w:ascii="仿宋" w:hAnsi="仿宋" w:eastAsia="仿宋" w:cs="仿宋"/>
                <w:sz w:val="21"/>
                <w:szCs w:val="21"/>
              </w:rPr>
              <w:t>★</w:t>
            </w:r>
            <w:bookmarkEnd w:id="99"/>
            <w:r>
              <w:rPr>
                <w:rFonts w:hint="eastAsia" w:ascii="仿宋" w:hAnsi="仿宋" w:eastAsia="仿宋" w:cs="仿宋"/>
                <w:sz w:val="21"/>
                <w:szCs w:val="21"/>
              </w:rPr>
              <w:t>”号标注的部分进行演示:</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(1)进行现场/远程演示，且演示内容完全满足功能要求描述的，每项得2.5分，不完全满足或不满足的，不得分；</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(2)使用截图、视频、DEMO程序、PPT等进行演示的，且演示内容满足功能描述要求的，每项得1分，不完全满足或不满足的，不得分。</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本项满分为25分。</w:t>
            </w:r>
          </w:p>
        </w:tc>
        <w:tc>
          <w:tcPr>
            <w:tcW w:w="2546" w:type="dxa"/>
            <w:vAlign w:val="center"/>
          </w:tcPr>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现场/远程系统演示时间原则上不超过25分钟。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835" w:type="dxa"/>
            <w:vMerge w:val="continue"/>
            <w:vAlign w:val="center"/>
          </w:tcPr>
          <w:p>
            <w:pPr>
              <w:snapToGrid w:val="0"/>
              <w:ind w:firstLine="0" w:firstLineChars="0"/>
              <w:jc w:val="left"/>
              <w:rPr>
                <w:rFonts w:hint="eastAsia" w:ascii="仿宋" w:hAnsi="仿宋" w:eastAsia="仿宋" w:cs="仿宋"/>
                <w:sz w:val="21"/>
                <w:szCs w:val="21"/>
              </w:rPr>
            </w:pPr>
          </w:p>
        </w:tc>
        <w:tc>
          <w:tcPr>
            <w:tcW w:w="1462" w:type="dxa"/>
            <w:vMerge w:val="continue"/>
            <w:vAlign w:val="center"/>
          </w:tcPr>
          <w:p>
            <w:pPr>
              <w:snapToGrid w:val="0"/>
              <w:ind w:firstLine="0" w:firstLineChars="0"/>
              <w:jc w:val="left"/>
              <w:rPr>
                <w:rFonts w:hint="eastAsia" w:ascii="仿宋" w:hAnsi="仿宋" w:eastAsia="仿宋" w:cs="仿宋"/>
                <w:sz w:val="21"/>
                <w:szCs w:val="21"/>
              </w:rPr>
            </w:pPr>
          </w:p>
        </w:tc>
        <w:tc>
          <w:tcPr>
            <w:tcW w:w="1035" w:type="dxa"/>
            <w:vAlign w:val="center"/>
          </w:tcPr>
          <w:p>
            <w:pPr>
              <w:snapToGrid w:val="0"/>
              <w:ind w:firstLine="0" w:firstLineChars="0"/>
              <w:jc w:val="center"/>
              <w:rPr>
                <w:rFonts w:hint="eastAsia" w:ascii="仿宋" w:hAnsi="仿宋" w:eastAsia="仿宋" w:cs="仿宋"/>
                <w:sz w:val="21"/>
                <w:szCs w:val="21"/>
              </w:rPr>
            </w:pPr>
            <w:r>
              <w:rPr>
                <w:rFonts w:hint="eastAsia" w:ascii="仿宋" w:hAnsi="仿宋" w:eastAsia="仿宋" w:cs="仿宋"/>
                <w:sz w:val="21"/>
                <w:szCs w:val="21"/>
              </w:rPr>
              <w:t>实施方案（5分）</w:t>
            </w:r>
          </w:p>
        </w:tc>
        <w:tc>
          <w:tcPr>
            <w:tcW w:w="3750" w:type="dxa"/>
            <w:vAlign w:val="center"/>
          </w:tcPr>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1.供应商根据本项目实际情况制定实施方案，包含但不限于：①项目组织管理、②进度计划安排、③紧急故障处理与应急方案、④安装调试方案、⑤测试及验收方案。</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方案内容不存在瑕疵，得5分；</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方案内容存在1-2处瑕疵得3分；</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方案内容存在3-4处瑕疵的1分;</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方案内容存在5处及以上瑕疵或未提供方案得0分。</w:t>
            </w:r>
          </w:p>
        </w:tc>
        <w:tc>
          <w:tcPr>
            <w:tcW w:w="2546" w:type="dxa"/>
            <w:vMerge w:val="restart"/>
            <w:vAlign w:val="center"/>
          </w:tcPr>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说明:方案内容中所称的“瑕疵”指下述任意一种情形：</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①内容缺少针对性的理解与分析，对关键点或重点难点缺少分析说明；</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②内容表述前后矛盾、无连贯性、内容存在逻辑漏洞；</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③人员安排不合理，专业人员安排不恰当，岗位职责不清；</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④措施不全面，或措施不当，不适用本项目或不利于本项目需求的实现；</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⑤方案非专门针对本项目制定。</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上述任意一种情形为1处瑕疵。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jc w:val="center"/>
        </w:trPr>
        <w:tc>
          <w:tcPr>
            <w:tcW w:w="835" w:type="dxa"/>
            <w:vMerge w:val="continue"/>
            <w:vAlign w:val="center"/>
          </w:tcPr>
          <w:p>
            <w:pPr>
              <w:snapToGrid w:val="0"/>
              <w:ind w:firstLine="0" w:firstLineChars="0"/>
              <w:jc w:val="left"/>
              <w:rPr>
                <w:rFonts w:hint="eastAsia" w:ascii="仿宋" w:hAnsi="仿宋" w:eastAsia="仿宋" w:cs="仿宋"/>
                <w:sz w:val="21"/>
                <w:szCs w:val="21"/>
              </w:rPr>
            </w:pPr>
          </w:p>
        </w:tc>
        <w:tc>
          <w:tcPr>
            <w:tcW w:w="1462" w:type="dxa"/>
            <w:vMerge w:val="continue"/>
            <w:vAlign w:val="center"/>
          </w:tcPr>
          <w:p>
            <w:pPr>
              <w:snapToGrid w:val="0"/>
              <w:ind w:firstLine="0" w:firstLineChars="0"/>
              <w:jc w:val="left"/>
              <w:rPr>
                <w:rFonts w:hint="eastAsia" w:ascii="仿宋" w:hAnsi="仿宋" w:eastAsia="仿宋" w:cs="仿宋"/>
                <w:sz w:val="21"/>
                <w:szCs w:val="21"/>
              </w:rPr>
            </w:pPr>
          </w:p>
        </w:tc>
        <w:tc>
          <w:tcPr>
            <w:tcW w:w="1035" w:type="dxa"/>
            <w:vAlign w:val="center"/>
          </w:tcPr>
          <w:p>
            <w:pPr>
              <w:snapToGrid w:val="0"/>
              <w:ind w:firstLine="0" w:firstLineChars="0"/>
              <w:jc w:val="center"/>
              <w:rPr>
                <w:rFonts w:hint="eastAsia" w:ascii="仿宋" w:hAnsi="仿宋" w:eastAsia="仿宋" w:cs="仿宋"/>
                <w:sz w:val="21"/>
                <w:szCs w:val="21"/>
              </w:rPr>
            </w:pPr>
            <w:r>
              <w:rPr>
                <w:rFonts w:hint="eastAsia" w:ascii="仿宋" w:hAnsi="仿宋" w:eastAsia="仿宋" w:cs="仿宋"/>
                <w:sz w:val="21"/>
                <w:szCs w:val="21"/>
              </w:rPr>
              <w:t>产品设计方案（5分）</w:t>
            </w:r>
          </w:p>
        </w:tc>
        <w:tc>
          <w:tcPr>
            <w:tcW w:w="3750" w:type="dxa"/>
            <w:vAlign w:val="center"/>
          </w:tcPr>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1.供应商根据本项目实际情况制定产品设计方案，包含但不限于：①技术方案（包含架构设计）、②详细功能设计、③数据治理方案、④接口设计、⑤安全保障方案。</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方案内容不存在瑕疵，得5分；</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方案内容存在1-2处瑕疵得3分；</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方案内容存在3-4处瑕疵的1分;</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方案内容存在5处及以上瑕疵或未提供方案得0分。</w:t>
            </w:r>
          </w:p>
        </w:tc>
        <w:tc>
          <w:tcPr>
            <w:tcW w:w="2546" w:type="dxa"/>
            <w:vMerge w:val="continue"/>
            <w:vAlign w:val="center"/>
          </w:tcPr>
          <w:p>
            <w:pPr>
              <w:snapToGrid w:val="0"/>
              <w:ind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835" w:type="dxa"/>
            <w:vMerge w:val="continue"/>
            <w:vAlign w:val="center"/>
          </w:tcPr>
          <w:p>
            <w:pPr>
              <w:snapToGrid w:val="0"/>
              <w:ind w:firstLine="0" w:firstLineChars="0"/>
              <w:jc w:val="left"/>
              <w:rPr>
                <w:rFonts w:hint="eastAsia" w:ascii="仿宋" w:hAnsi="仿宋" w:eastAsia="仿宋" w:cs="仿宋"/>
                <w:sz w:val="21"/>
                <w:szCs w:val="21"/>
              </w:rPr>
            </w:pPr>
          </w:p>
        </w:tc>
        <w:tc>
          <w:tcPr>
            <w:tcW w:w="1462" w:type="dxa"/>
            <w:vMerge w:val="continue"/>
            <w:vAlign w:val="center"/>
          </w:tcPr>
          <w:p>
            <w:pPr>
              <w:snapToGrid w:val="0"/>
              <w:ind w:firstLine="0" w:firstLineChars="0"/>
              <w:jc w:val="left"/>
              <w:rPr>
                <w:rFonts w:hint="eastAsia" w:ascii="仿宋" w:hAnsi="仿宋" w:eastAsia="仿宋" w:cs="仿宋"/>
                <w:sz w:val="21"/>
                <w:szCs w:val="21"/>
              </w:rPr>
            </w:pPr>
          </w:p>
        </w:tc>
        <w:tc>
          <w:tcPr>
            <w:tcW w:w="1035" w:type="dxa"/>
            <w:vAlign w:val="center"/>
          </w:tcPr>
          <w:p>
            <w:pPr>
              <w:snapToGrid w:val="0"/>
              <w:ind w:firstLine="0" w:firstLineChars="0"/>
              <w:jc w:val="center"/>
              <w:rPr>
                <w:rFonts w:hint="eastAsia" w:ascii="仿宋" w:hAnsi="仿宋" w:eastAsia="仿宋" w:cs="仿宋"/>
                <w:sz w:val="21"/>
                <w:szCs w:val="21"/>
              </w:rPr>
            </w:pPr>
            <w:r>
              <w:rPr>
                <w:rFonts w:hint="eastAsia" w:ascii="仿宋" w:hAnsi="仿宋" w:eastAsia="仿宋" w:cs="仿宋"/>
                <w:sz w:val="21"/>
                <w:szCs w:val="21"/>
              </w:rPr>
              <w:t>售后服务方案（5分）</w:t>
            </w:r>
          </w:p>
        </w:tc>
        <w:tc>
          <w:tcPr>
            <w:tcW w:w="3750" w:type="dxa"/>
            <w:vAlign w:val="center"/>
          </w:tcPr>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1.供应商根据本项目实际情况制定售后服务方案，包含但不限于：①服务内容范围、②服务保障措施、③技术支持响应、④解决问题时间。</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方案内容不存在瑕疵，得5分；</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方案内容存在1-2处瑕疵得3分；</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方案内容存在3-4处瑕疵的1分;</w:t>
            </w: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方案内容存在5处及以上瑕疵或未提供方案得0分。</w:t>
            </w:r>
          </w:p>
        </w:tc>
        <w:tc>
          <w:tcPr>
            <w:tcW w:w="2546" w:type="dxa"/>
            <w:vMerge w:val="continue"/>
            <w:vAlign w:val="center"/>
          </w:tcPr>
          <w:p>
            <w:pPr>
              <w:snapToGrid w:val="0"/>
              <w:ind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 w:hRule="atLeast"/>
          <w:jc w:val="center"/>
        </w:trPr>
        <w:tc>
          <w:tcPr>
            <w:tcW w:w="835" w:type="dxa"/>
            <w:vMerge w:val="restart"/>
            <w:vAlign w:val="center"/>
          </w:tcPr>
          <w:p>
            <w:pPr>
              <w:snapToGrid w:val="0"/>
              <w:ind w:firstLine="0" w:firstLineChars="0"/>
              <w:jc w:val="center"/>
              <w:rPr>
                <w:rFonts w:hint="eastAsia" w:ascii="仿宋" w:hAnsi="仿宋" w:eastAsia="仿宋" w:cs="仿宋"/>
                <w:sz w:val="21"/>
                <w:szCs w:val="21"/>
              </w:rPr>
            </w:pPr>
            <w:r>
              <w:rPr>
                <w:rFonts w:hint="eastAsia" w:ascii="仿宋" w:hAnsi="仿宋" w:eastAsia="仿宋" w:cs="仿宋"/>
                <w:sz w:val="21"/>
                <w:szCs w:val="21"/>
              </w:rPr>
              <w:t>3</w:t>
            </w:r>
          </w:p>
        </w:tc>
        <w:tc>
          <w:tcPr>
            <w:tcW w:w="1462" w:type="dxa"/>
            <w:vMerge w:val="restart"/>
            <w:vAlign w:val="center"/>
          </w:tcPr>
          <w:p>
            <w:pPr>
              <w:snapToGrid w:val="0"/>
              <w:ind w:firstLine="0" w:firstLineChars="0"/>
              <w:jc w:val="center"/>
              <w:rPr>
                <w:rFonts w:hint="eastAsia" w:ascii="仿宋" w:hAnsi="仿宋" w:eastAsia="仿宋" w:cs="仿宋"/>
                <w:sz w:val="21"/>
                <w:szCs w:val="21"/>
              </w:rPr>
            </w:pPr>
            <w:r>
              <w:rPr>
                <w:rFonts w:hint="eastAsia" w:ascii="仿宋" w:hAnsi="仿宋" w:eastAsia="仿宋" w:cs="仿宋"/>
                <w:sz w:val="21"/>
                <w:szCs w:val="21"/>
              </w:rPr>
              <w:t>商务部分</w:t>
            </w:r>
          </w:p>
          <w:p>
            <w:pPr>
              <w:snapToGrid w:val="0"/>
              <w:ind w:firstLine="0" w:firstLineChars="0"/>
              <w:jc w:val="center"/>
              <w:rPr>
                <w:rFonts w:hint="eastAsia" w:ascii="仿宋" w:hAnsi="仿宋" w:eastAsia="仿宋" w:cs="仿宋"/>
                <w:sz w:val="21"/>
                <w:szCs w:val="21"/>
              </w:rPr>
            </w:pPr>
            <w:r>
              <w:rPr>
                <w:rFonts w:hint="eastAsia" w:ascii="仿宋" w:hAnsi="仿宋" w:eastAsia="仿宋" w:cs="仿宋"/>
                <w:sz w:val="21"/>
                <w:szCs w:val="21"/>
              </w:rPr>
              <w:t>（10%）</w:t>
            </w:r>
          </w:p>
        </w:tc>
        <w:tc>
          <w:tcPr>
            <w:tcW w:w="1035" w:type="dxa"/>
            <w:vAlign w:val="center"/>
          </w:tcPr>
          <w:p>
            <w:pPr>
              <w:snapToGrid w:val="0"/>
              <w:ind w:firstLine="0" w:firstLineChars="0"/>
              <w:jc w:val="center"/>
              <w:rPr>
                <w:rFonts w:hint="eastAsia" w:ascii="仿宋" w:hAnsi="仿宋" w:eastAsia="仿宋" w:cs="仿宋"/>
                <w:sz w:val="21"/>
                <w:szCs w:val="21"/>
              </w:rPr>
            </w:pPr>
            <w:r>
              <w:rPr>
                <w:rFonts w:hint="eastAsia" w:ascii="仿宋" w:hAnsi="仿宋" w:eastAsia="仿宋" w:cs="仿宋"/>
                <w:sz w:val="21"/>
                <w:szCs w:val="21"/>
              </w:rPr>
              <w:t>知识产权证明（4分）</w:t>
            </w:r>
          </w:p>
        </w:tc>
        <w:tc>
          <w:tcPr>
            <w:tcW w:w="3750" w:type="dxa"/>
            <w:vAlign w:val="center"/>
          </w:tcPr>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供应商</w:t>
            </w:r>
            <w:r>
              <w:rPr>
                <w:rFonts w:ascii="仿宋" w:hAnsi="仿宋" w:eastAsia="仿宋" w:cs="仿宋"/>
                <w:sz w:val="21"/>
                <w:szCs w:val="21"/>
              </w:rPr>
              <w:t>或制造商具有与本项目相关的计算机软件著作权证书，每提供1个得1分，最高</w:t>
            </w:r>
            <w:r>
              <w:rPr>
                <w:rFonts w:hint="eastAsia" w:ascii="仿宋" w:hAnsi="仿宋" w:eastAsia="仿宋" w:cs="仿宋"/>
                <w:sz w:val="21"/>
                <w:szCs w:val="21"/>
              </w:rPr>
              <w:t>4</w:t>
            </w:r>
            <w:r>
              <w:rPr>
                <w:rFonts w:ascii="仿宋" w:hAnsi="仿宋" w:eastAsia="仿宋" w:cs="仿宋"/>
                <w:sz w:val="21"/>
                <w:szCs w:val="21"/>
              </w:rPr>
              <w:t>分，未提供的不得分。</w:t>
            </w:r>
          </w:p>
        </w:tc>
        <w:tc>
          <w:tcPr>
            <w:tcW w:w="2546" w:type="dxa"/>
            <w:vMerge w:val="restart"/>
            <w:vAlign w:val="center"/>
          </w:tcPr>
          <w:p>
            <w:pPr>
              <w:snapToGrid w:val="0"/>
              <w:ind w:firstLine="0" w:firstLineChars="0"/>
              <w:jc w:val="left"/>
              <w:rPr>
                <w:rFonts w:hint="eastAsia" w:ascii="仿宋" w:hAnsi="仿宋" w:eastAsia="仿宋" w:cs="仿宋"/>
                <w:sz w:val="21"/>
                <w:szCs w:val="21"/>
              </w:rPr>
            </w:pPr>
          </w:p>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提供证明材料并加盖供应商公章。</w:t>
            </w:r>
          </w:p>
          <w:p>
            <w:pPr>
              <w:snapToGrid w:val="0"/>
              <w:ind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 w:hRule="atLeast"/>
          <w:jc w:val="center"/>
        </w:trPr>
        <w:tc>
          <w:tcPr>
            <w:tcW w:w="835" w:type="dxa"/>
            <w:vMerge w:val="continue"/>
            <w:vAlign w:val="center"/>
          </w:tcPr>
          <w:p>
            <w:pPr>
              <w:snapToGrid w:val="0"/>
              <w:ind w:firstLine="420"/>
              <w:jc w:val="left"/>
              <w:rPr>
                <w:rFonts w:hint="eastAsia" w:ascii="仿宋" w:hAnsi="仿宋" w:eastAsia="仿宋" w:cs="仿宋"/>
                <w:sz w:val="21"/>
                <w:szCs w:val="21"/>
              </w:rPr>
            </w:pPr>
          </w:p>
        </w:tc>
        <w:tc>
          <w:tcPr>
            <w:tcW w:w="1462" w:type="dxa"/>
            <w:vMerge w:val="continue"/>
            <w:vAlign w:val="center"/>
          </w:tcPr>
          <w:p>
            <w:pPr>
              <w:snapToGrid w:val="0"/>
              <w:ind w:firstLine="420"/>
              <w:jc w:val="left"/>
              <w:rPr>
                <w:rFonts w:hint="eastAsia" w:ascii="仿宋" w:hAnsi="仿宋" w:eastAsia="仿宋" w:cs="仿宋"/>
                <w:sz w:val="21"/>
                <w:szCs w:val="21"/>
              </w:rPr>
            </w:pPr>
          </w:p>
        </w:tc>
        <w:tc>
          <w:tcPr>
            <w:tcW w:w="1035" w:type="dxa"/>
            <w:vAlign w:val="center"/>
          </w:tcPr>
          <w:p>
            <w:pPr>
              <w:snapToGrid w:val="0"/>
              <w:ind w:firstLine="0" w:firstLineChars="0"/>
              <w:rPr>
                <w:rFonts w:hint="eastAsia" w:ascii="仿宋" w:hAnsi="仿宋" w:eastAsia="仿宋" w:cs="仿宋"/>
                <w:sz w:val="21"/>
                <w:szCs w:val="21"/>
              </w:rPr>
            </w:pPr>
            <w:r>
              <w:rPr>
                <w:rFonts w:hint="eastAsia" w:ascii="仿宋" w:hAnsi="仿宋" w:eastAsia="仿宋" w:cs="仿宋"/>
                <w:sz w:val="21"/>
                <w:szCs w:val="21"/>
              </w:rPr>
              <w:t>业绩证明（6分）</w:t>
            </w:r>
          </w:p>
        </w:tc>
        <w:tc>
          <w:tcPr>
            <w:tcW w:w="3750" w:type="dxa"/>
            <w:vAlign w:val="center"/>
          </w:tcPr>
          <w:p>
            <w:pPr>
              <w:snapToGrid w:val="0"/>
              <w:ind w:firstLine="0" w:firstLineChars="0"/>
              <w:jc w:val="left"/>
              <w:rPr>
                <w:rFonts w:hint="eastAsia" w:ascii="仿宋" w:hAnsi="仿宋" w:eastAsia="仿宋" w:cs="仿宋"/>
                <w:sz w:val="21"/>
                <w:szCs w:val="21"/>
              </w:rPr>
            </w:pPr>
            <w:r>
              <w:rPr>
                <w:rFonts w:hint="eastAsia" w:ascii="仿宋" w:hAnsi="仿宋" w:eastAsia="仿宋" w:cs="仿宋"/>
                <w:sz w:val="21"/>
                <w:szCs w:val="21"/>
              </w:rPr>
              <w:t>供应商</w:t>
            </w:r>
            <w:r>
              <w:rPr>
                <w:rFonts w:ascii="仿宋" w:hAnsi="仿宋" w:eastAsia="仿宋" w:cs="仿宋"/>
                <w:sz w:val="21"/>
                <w:szCs w:val="21"/>
              </w:rPr>
              <w:t>或制造商自202</w:t>
            </w:r>
            <w:r>
              <w:rPr>
                <w:rFonts w:hint="eastAsia" w:ascii="仿宋" w:hAnsi="仿宋" w:eastAsia="仿宋" w:cs="仿宋"/>
                <w:sz w:val="21"/>
                <w:szCs w:val="21"/>
              </w:rPr>
              <w:t>3</w:t>
            </w:r>
            <w:r>
              <w:rPr>
                <w:rFonts w:ascii="仿宋" w:hAnsi="仿宋" w:eastAsia="仿宋" w:cs="仿宋"/>
                <w:sz w:val="21"/>
                <w:szCs w:val="21"/>
              </w:rPr>
              <w:t>年1月以来具有与本项目相关的类似业绩，提供1个业绩有效证明文件得2分，最高得</w:t>
            </w:r>
            <w:r>
              <w:rPr>
                <w:rFonts w:hint="eastAsia" w:ascii="仿宋" w:hAnsi="仿宋" w:eastAsia="仿宋" w:cs="仿宋"/>
                <w:sz w:val="21"/>
                <w:szCs w:val="21"/>
              </w:rPr>
              <w:t>6</w:t>
            </w:r>
            <w:r>
              <w:rPr>
                <w:rFonts w:ascii="仿宋" w:hAnsi="仿宋" w:eastAsia="仿宋" w:cs="仿宋"/>
                <w:sz w:val="21"/>
                <w:szCs w:val="21"/>
              </w:rPr>
              <w:t>分。</w:t>
            </w:r>
          </w:p>
        </w:tc>
        <w:tc>
          <w:tcPr>
            <w:tcW w:w="2546" w:type="dxa"/>
            <w:vMerge w:val="continue"/>
            <w:vAlign w:val="center"/>
          </w:tcPr>
          <w:p>
            <w:pPr>
              <w:snapToGrid w:val="0"/>
              <w:ind w:firstLine="420"/>
              <w:jc w:val="left"/>
              <w:rPr>
                <w:rFonts w:hint="eastAsia" w:ascii="仿宋" w:hAnsi="仿宋" w:eastAsia="仿宋" w:cs="仿宋"/>
                <w:sz w:val="21"/>
                <w:szCs w:val="21"/>
              </w:rPr>
            </w:pPr>
          </w:p>
        </w:tc>
      </w:tr>
    </w:tbl>
    <w:p>
      <w:pPr>
        <w:ind w:firstLine="0" w:firstLineChars="0"/>
        <w:rPr>
          <w:rFonts w:hint="eastAsia"/>
        </w:rPr>
      </w:pPr>
    </w:p>
    <w:p>
      <w:pPr>
        <w:snapToGrid w:val="0"/>
        <w:spacing w:line="400" w:lineRule="exact"/>
        <w:rPr>
          <w:rFonts w:hint="eastAsia" w:cs="宋体"/>
        </w:rPr>
      </w:pPr>
      <w:r>
        <w:rPr>
          <w:rFonts w:hint="eastAsia" w:cs="宋体"/>
        </w:rPr>
        <w:t>（1）根据《关于推动解决政府采购异常低价问题的通知》财库〔2026〕2号文件规定，政府采购评审中出现下列情形之一的，评标委员会应当启动异常低价投标审查程序：</w:t>
      </w:r>
    </w:p>
    <w:p>
      <w:pPr>
        <w:snapToGrid w:val="0"/>
        <w:spacing w:line="400" w:lineRule="exact"/>
        <w:rPr>
          <w:rFonts w:hint="eastAsia" w:cs="宋体"/>
        </w:rPr>
      </w:pPr>
      <w:r>
        <w:rPr>
          <w:rFonts w:hint="eastAsia" w:cs="宋体"/>
        </w:rPr>
        <w:t>1.投标报价低于全部通过符合性审查投标人投标报价平均值50%的，即投标报价&lt;全部通过符合性审查投标人投标报价平均值×50%；</w:t>
      </w:r>
    </w:p>
    <w:p>
      <w:pPr>
        <w:snapToGrid w:val="0"/>
        <w:spacing w:line="400" w:lineRule="exact"/>
        <w:rPr>
          <w:rFonts w:hint="eastAsia" w:cs="宋体"/>
        </w:rPr>
      </w:pPr>
      <w:r>
        <w:rPr>
          <w:rFonts w:hint="eastAsia" w:cs="宋体"/>
        </w:rPr>
        <w:t>2.投标报价低于通过符合性审查的次低报价投标人投标报价50%的，即投标报价&lt;通过符合性审查的次低报价投标人投标报价×50%；</w:t>
      </w:r>
    </w:p>
    <w:p>
      <w:pPr>
        <w:snapToGrid w:val="0"/>
        <w:spacing w:line="400" w:lineRule="exact"/>
        <w:rPr>
          <w:rFonts w:hint="eastAsia" w:cs="宋体"/>
        </w:rPr>
      </w:pPr>
      <w:r>
        <w:rPr>
          <w:rFonts w:hint="eastAsia" w:cs="宋体"/>
        </w:rPr>
        <w:t>3.投标报价低于采购项目最高限价</w:t>
      </w:r>
      <w:r>
        <w:rPr>
          <w:rFonts w:hint="eastAsia" w:cs="宋体"/>
          <w:color w:val="C00000"/>
        </w:rPr>
        <w:t>55%</w:t>
      </w:r>
      <w:r>
        <w:rPr>
          <w:rFonts w:hint="eastAsia" w:cs="宋体"/>
        </w:rPr>
        <w:t>的，即投标报价&lt;采购项目最高限价×</w:t>
      </w:r>
      <w:r>
        <w:rPr>
          <w:rFonts w:hint="eastAsia" w:cs="宋体"/>
          <w:color w:val="C00000"/>
        </w:rPr>
        <w:t>55%</w:t>
      </w:r>
      <w:r>
        <w:rPr>
          <w:rFonts w:hint="eastAsia" w:cs="宋体"/>
        </w:rPr>
        <w:t>；</w:t>
      </w:r>
    </w:p>
    <w:p>
      <w:pPr>
        <w:snapToGrid w:val="0"/>
        <w:spacing w:line="400" w:lineRule="exact"/>
        <w:rPr>
          <w:rFonts w:hint="eastAsia" w:cs="宋体"/>
        </w:rPr>
      </w:pPr>
      <w:r>
        <w:rPr>
          <w:rFonts w:hint="eastAsia" w:cs="宋体"/>
        </w:rPr>
        <w:t>4.评标委员会基于专业判断，认为投标人报价过低，有可能影响产品质量或者不能诚信履约的其他情形。</w:t>
      </w:r>
    </w:p>
    <w:p>
      <w:pPr>
        <w:snapToGrid w:val="0"/>
        <w:spacing w:line="400" w:lineRule="exact"/>
        <w:rPr>
          <w:rFonts w:hint="eastAsia" w:cs="宋体"/>
        </w:rPr>
      </w:pPr>
      <w:r>
        <w:rPr>
          <w:rFonts w:hint="eastAsia" w:cs="宋体"/>
        </w:rPr>
        <w:t>（2）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snapToGrid w:val="0"/>
        <w:spacing w:line="400" w:lineRule="exact"/>
        <w:rPr>
          <w:rFonts w:hint="eastAsia" w:cs="宋体"/>
        </w:rPr>
      </w:pPr>
      <w:r>
        <w:rPr>
          <w:rFonts w:hint="eastAsia" w:cs="宋体"/>
        </w:rPr>
        <w:t>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pPr>
        <w:ind w:firstLine="0" w:firstLineChars="0"/>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Noto Sans SC">
    <w:altName w:val="宋体"/>
    <w:panose1 w:val="020B0200000000000000"/>
    <w:charset w:val="86"/>
    <w:family w:val="swiss"/>
    <w:pitch w:val="default"/>
    <w:sig w:usb0="00000000" w:usb1="00000000" w:usb2="00000016" w:usb3="00000000" w:csb0="000601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AA49C8"/>
    <w:multiLevelType w:val="singleLevel"/>
    <w:tmpl w:val="84AA49C8"/>
    <w:lvl w:ilvl="0" w:tentative="0">
      <w:start w:val="1"/>
      <w:numFmt w:val="decimal"/>
      <w:suff w:val="space"/>
      <w:lvlText w:val="%1."/>
      <w:lvlJc w:val="left"/>
    </w:lvl>
  </w:abstractNum>
  <w:abstractNum w:abstractNumId="1">
    <w:nsid w:val="90C1883D"/>
    <w:multiLevelType w:val="singleLevel"/>
    <w:tmpl w:val="90C1883D"/>
    <w:lvl w:ilvl="0" w:tentative="0">
      <w:start w:val="1"/>
      <w:numFmt w:val="decimal"/>
      <w:suff w:val="space"/>
      <w:lvlText w:val="%1."/>
      <w:lvlJc w:val="left"/>
    </w:lvl>
  </w:abstractNum>
  <w:abstractNum w:abstractNumId="2">
    <w:nsid w:val="9E307A71"/>
    <w:multiLevelType w:val="singleLevel"/>
    <w:tmpl w:val="9E307A71"/>
    <w:lvl w:ilvl="0" w:tentative="0">
      <w:start w:val="1"/>
      <w:numFmt w:val="decimal"/>
      <w:suff w:val="space"/>
      <w:lvlText w:val="%1."/>
      <w:lvlJc w:val="left"/>
    </w:lvl>
  </w:abstractNum>
  <w:abstractNum w:abstractNumId="3">
    <w:nsid w:val="AD9C9B8B"/>
    <w:multiLevelType w:val="singleLevel"/>
    <w:tmpl w:val="AD9C9B8B"/>
    <w:lvl w:ilvl="0" w:tentative="0">
      <w:start w:val="1"/>
      <w:numFmt w:val="decimal"/>
      <w:suff w:val="space"/>
      <w:lvlText w:val="%1."/>
      <w:lvlJc w:val="left"/>
    </w:lvl>
  </w:abstractNum>
  <w:abstractNum w:abstractNumId="4">
    <w:nsid w:val="C879F804"/>
    <w:multiLevelType w:val="singleLevel"/>
    <w:tmpl w:val="C879F804"/>
    <w:lvl w:ilvl="0" w:tentative="0">
      <w:start w:val="1"/>
      <w:numFmt w:val="decimal"/>
      <w:suff w:val="space"/>
      <w:lvlText w:val="%1."/>
      <w:lvlJc w:val="left"/>
    </w:lvl>
  </w:abstractNum>
  <w:abstractNum w:abstractNumId="5">
    <w:nsid w:val="DD9C8E62"/>
    <w:multiLevelType w:val="singleLevel"/>
    <w:tmpl w:val="DD9C8E62"/>
    <w:lvl w:ilvl="0" w:tentative="0">
      <w:start w:val="1"/>
      <w:numFmt w:val="decimal"/>
      <w:suff w:val="space"/>
      <w:lvlText w:val="%1."/>
      <w:lvlJc w:val="left"/>
    </w:lvl>
  </w:abstractNum>
  <w:abstractNum w:abstractNumId="6">
    <w:nsid w:val="00000024"/>
    <w:multiLevelType w:val="multilevel"/>
    <w:tmpl w:val="00000024"/>
    <w:lvl w:ilvl="0" w:tentative="0">
      <w:start w:val="1"/>
      <w:numFmt w:val="decimal"/>
      <w:lvlText w:val="%1."/>
      <w:lvlJc w:val="left"/>
      <w:pPr>
        <w:ind w:left="0" w:hanging="425"/>
      </w:pPr>
    </w:lvl>
    <w:lvl w:ilvl="1" w:tentative="0">
      <w:start w:val="1"/>
      <w:numFmt w:val="decimal"/>
      <w:lvlText w:val="%1.%2."/>
      <w:lvlJc w:val="left"/>
      <w:pPr>
        <w:ind w:left="142" w:hanging="567"/>
      </w:pPr>
    </w:lvl>
    <w:lvl w:ilvl="2" w:tentative="0">
      <w:start w:val="1"/>
      <w:numFmt w:val="decimal"/>
      <w:lvlText w:val="%1.%2.%3."/>
      <w:lvlJc w:val="left"/>
      <w:pPr>
        <w:ind w:left="284" w:hanging="709"/>
      </w:pPr>
    </w:lvl>
    <w:lvl w:ilvl="3" w:tentative="0">
      <w:start w:val="1"/>
      <w:numFmt w:val="decimal"/>
      <w:lvlText w:val="%1.%2.%3.%4."/>
      <w:lvlJc w:val="left"/>
      <w:pPr>
        <w:ind w:left="426" w:hanging="851"/>
      </w:pPr>
    </w:lvl>
    <w:lvl w:ilvl="4" w:tentative="0">
      <w:start w:val="1"/>
      <w:numFmt w:val="decimal"/>
      <w:lvlText w:val="%1.%2.%3.%4.%5."/>
      <w:lvlJc w:val="left"/>
      <w:pPr>
        <w:ind w:left="567" w:hanging="992"/>
      </w:pPr>
    </w:lvl>
    <w:lvl w:ilvl="5" w:tentative="0">
      <w:start w:val="1"/>
      <w:numFmt w:val="decimal"/>
      <w:lvlText w:val="%1.%2.%3.%4.%5.%6."/>
      <w:lvlJc w:val="left"/>
      <w:pPr>
        <w:ind w:left="709" w:hanging="1134"/>
      </w:pPr>
    </w:lvl>
    <w:lvl w:ilvl="6" w:tentative="0">
      <w:start w:val="1"/>
      <w:numFmt w:val="decimal"/>
      <w:lvlText w:val="%1.%2.%3.%4.%5.%6.%7."/>
      <w:lvlJc w:val="left"/>
      <w:pPr>
        <w:ind w:left="851" w:hanging="1276"/>
      </w:pPr>
    </w:lvl>
    <w:lvl w:ilvl="7" w:tentative="0">
      <w:start w:val="1"/>
      <w:numFmt w:val="decimal"/>
      <w:lvlText w:val="%1.%2.%3.%4.%5.%6.%7.%8."/>
      <w:lvlJc w:val="left"/>
      <w:pPr>
        <w:ind w:left="993" w:hanging="1418"/>
      </w:pPr>
    </w:lvl>
    <w:lvl w:ilvl="8" w:tentative="0">
      <w:start w:val="1"/>
      <w:numFmt w:val="decimal"/>
      <w:lvlText w:val="%1.%2.%3.%4.%5.%6.%7.%8.%9."/>
      <w:lvlJc w:val="left"/>
      <w:pPr>
        <w:ind w:left="1134" w:hanging="1559"/>
      </w:pPr>
    </w:lvl>
  </w:abstractNum>
  <w:abstractNum w:abstractNumId="7">
    <w:nsid w:val="19B55888"/>
    <w:multiLevelType w:val="singleLevel"/>
    <w:tmpl w:val="19B55888"/>
    <w:lvl w:ilvl="0" w:tentative="0">
      <w:start w:val="1"/>
      <w:numFmt w:val="decimal"/>
      <w:lvlText w:val="%1."/>
      <w:lvlJc w:val="left"/>
      <w:pPr>
        <w:ind w:left="425" w:hanging="425"/>
      </w:pPr>
      <w:rPr>
        <w:rFonts w:hint="default"/>
      </w:rPr>
    </w:lvl>
  </w:abstractNum>
  <w:abstractNum w:abstractNumId="8">
    <w:nsid w:val="1A0B02E9"/>
    <w:multiLevelType w:val="singleLevel"/>
    <w:tmpl w:val="1A0B02E9"/>
    <w:lvl w:ilvl="0" w:tentative="0">
      <w:start w:val="1"/>
      <w:numFmt w:val="decimal"/>
      <w:suff w:val="space"/>
      <w:lvlText w:val="%1."/>
      <w:lvlJc w:val="left"/>
    </w:lvl>
  </w:abstractNum>
  <w:abstractNum w:abstractNumId="9">
    <w:nsid w:val="290F51A4"/>
    <w:multiLevelType w:val="singleLevel"/>
    <w:tmpl w:val="290F51A4"/>
    <w:lvl w:ilvl="0" w:tentative="0">
      <w:start w:val="1"/>
      <w:numFmt w:val="decimal"/>
      <w:lvlText w:val="%1."/>
      <w:lvlJc w:val="left"/>
      <w:pPr>
        <w:ind w:left="425" w:hanging="425"/>
      </w:pPr>
      <w:rPr>
        <w:rFonts w:hint="default"/>
      </w:rPr>
    </w:lvl>
  </w:abstractNum>
  <w:abstractNum w:abstractNumId="10">
    <w:nsid w:val="40942141"/>
    <w:multiLevelType w:val="singleLevel"/>
    <w:tmpl w:val="40942141"/>
    <w:lvl w:ilvl="0" w:tentative="0">
      <w:start w:val="1"/>
      <w:numFmt w:val="decimal"/>
      <w:lvlText w:val="%1."/>
      <w:lvlJc w:val="left"/>
      <w:pPr>
        <w:ind w:left="425" w:hanging="425"/>
      </w:pPr>
      <w:rPr>
        <w:rFonts w:hint="default"/>
      </w:rPr>
    </w:lvl>
  </w:abstractNum>
  <w:abstractNum w:abstractNumId="11">
    <w:nsid w:val="44A065F0"/>
    <w:multiLevelType w:val="singleLevel"/>
    <w:tmpl w:val="44A065F0"/>
    <w:lvl w:ilvl="0" w:tentative="0">
      <w:start w:val="1"/>
      <w:numFmt w:val="decimal"/>
      <w:lvlText w:val="%1."/>
      <w:lvlJc w:val="left"/>
      <w:pPr>
        <w:ind w:left="425" w:hanging="425"/>
      </w:pPr>
      <w:rPr>
        <w:rFonts w:hint="default"/>
      </w:rPr>
    </w:lvl>
  </w:abstractNum>
  <w:abstractNum w:abstractNumId="12">
    <w:nsid w:val="4DE51862"/>
    <w:multiLevelType w:val="singleLevel"/>
    <w:tmpl w:val="4DE51862"/>
    <w:lvl w:ilvl="0" w:tentative="0">
      <w:start w:val="1"/>
      <w:numFmt w:val="decimal"/>
      <w:lvlText w:val="%1."/>
      <w:lvlJc w:val="left"/>
      <w:pPr>
        <w:ind w:left="425" w:hanging="425"/>
      </w:pPr>
      <w:rPr>
        <w:rFonts w:hint="default"/>
      </w:rPr>
    </w:lvl>
  </w:abstractNum>
  <w:abstractNum w:abstractNumId="13">
    <w:nsid w:val="530E1285"/>
    <w:multiLevelType w:val="multilevel"/>
    <w:tmpl w:val="530E1285"/>
    <w:lvl w:ilvl="0" w:tentative="0">
      <w:start w:val="1"/>
      <w:numFmt w:val="japaneseCounting"/>
      <w:pStyle w:val="4"/>
      <w:lvlText w:val="%1、"/>
      <w:lvlJc w:val="left"/>
      <w:pPr>
        <w:ind w:left="0" w:hanging="720"/>
      </w:pPr>
      <w:rPr>
        <w:rFonts w:hint="default"/>
      </w:rPr>
    </w:lvl>
    <w:lvl w:ilvl="1" w:tentative="0">
      <w:start w:val="1"/>
      <w:numFmt w:val="chineseCountingThousand"/>
      <w:pStyle w:val="6"/>
      <w:lvlText w:val="(%2)"/>
      <w:lvlJc w:val="left"/>
      <w:pPr>
        <w:ind w:left="160" w:hanging="440"/>
      </w:pPr>
    </w:lvl>
    <w:lvl w:ilvl="2" w:tentative="0">
      <w:start w:val="1"/>
      <w:numFmt w:val="decimal"/>
      <w:pStyle w:val="7"/>
      <w:lvlText w:val="%3."/>
      <w:lvlJc w:val="left"/>
      <w:pPr>
        <w:ind w:left="600" w:hanging="440"/>
      </w:pPr>
      <w:rPr>
        <w:rFonts w:hint="eastAsia"/>
      </w:rPr>
    </w:lvl>
    <w:lvl w:ilvl="3" w:tentative="0">
      <w:start w:val="1"/>
      <w:numFmt w:val="decimal"/>
      <w:lvlText w:val="%4."/>
      <w:lvlJc w:val="left"/>
      <w:pPr>
        <w:ind w:left="1040" w:hanging="440"/>
      </w:pPr>
    </w:lvl>
    <w:lvl w:ilvl="4" w:tentative="0">
      <w:start w:val="1"/>
      <w:numFmt w:val="lowerLetter"/>
      <w:lvlText w:val="%5)"/>
      <w:lvlJc w:val="left"/>
      <w:pPr>
        <w:ind w:left="1480" w:hanging="440"/>
      </w:pPr>
    </w:lvl>
    <w:lvl w:ilvl="5" w:tentative="0">
      <w:start w:val="1"/>
      <w:numFmt w:val="lowerRoman"/>
      <w:lvlText w:val="%6."/>
      <w:lvlJc w:val="right"/>
      <w:pPr>
        <w:ind w:left="1920" w:hanging="440"/>
      </w:pPr>
    </w:lvl>
    <w:lvl w:ilvl="6" w:tentative="0">
      <w:start w:val="1"/>
      <w:numFmt w:val="decimal"/>
      <w:lvlText w:val="%7."/>
      <w:lvlJc w:val="left"/>
      <w:pPr>
        <w:ind w:left="2360" w:hanging="440"/>
      </w:pPr>
    </w:lvl>
    <w:lvl w:ilvl="7" w:tentative="0">
      <w:start w:val="1"/>
      <w:numFmt w:val="lowerLetter"/>
      <w:lvlText w:val="%8)"/>
      <w:lvlJc w:val="left"/>
      <w:pPr>
        <w:ind w:left="2800" w:hanging="440"/>
      </w:pPr>
    </w:lvl>
    <w:lvl w:ilvl="8" w:tentative="0">
      <w:start w:val="1"/>
      <w:numFmt w:val="lowerRoman"/>
      <w:lvlText w:val="%9."/>
      <w:lvlJc w:val="right"/>
      <w:pPr>
        <w:ind w:left="3240" w:hanging="440"/>
      </w:pPr>
    </w:lvl>
  </w:abstractNum>
  <w:abstractNum w:abstractNumId="14">
    <w:nsid w:val="54B44FF8"/>
    <w:multiLevelType w:val="singleLevel"/>
    <w:tmpl w:val="54B44FF8"/>
    <w:lvl w:ilvl="0" w:tentative="0">
      <w:start w:val="1"/>
      <w:numFmt w:val="decimal"/>
      <w:lvlText w:val="%1."/>
      <w:lvlJc w:val="left"/>
      <w:pPr>
        <w:ind w:left="425" w:hanging="425"/>
      </w:pPr>
      <w:rPr>
        <w:rFonts w:hint="default"/>
      </w:rPr>
    </w:lvl>
  </w:abstractNum>
  <w:abstractNum w:abstractNumId="15">
    <w:nsid w:val="5BF04A59"/>
    <w:multiLevelType w:val="singleLevel"/>
    <w:tmpl w:val="5BF04A59"/>
    <w:lvl w:ilvl="0" w:tentative="0">
      <w:start w:val="1"/>
      <w:numFmt w:val="decimal"/>
      <w:lvlText w:val="%1."/>
      <w:lvlJc w:val="left"/>
      <w:pPr>
        <w:ind w:left="425" w:hanging="425"/>
      </w:pPr>
      <w:rPr>
        <w:rFonts w:hint="default"/>
      </w:rPr>
    </w:lvl>
  </w:abstractNum>
  <w:abstractNum w:abstractNumId="16">
    <w:nsid w:val="61BD6CDE"/>
    <w:multiLevelType w:val="singleLevel"/>
    <w:tmpl w:val="61BD6CDE"/>
    <w:lvl w:ilvl="0" w:tentative="0">
      <w:start w:val="1"/>
      <w:numFmt w:val="decimal"/>
      <w:lvlText w:val="%1."/>
      <w:lvlJc w:val="left"/>
      <w:pPr>
        <w:ind w:left="425" w:hanging="425"/>
      </w:pPr>
      <w:rPr>
        <w:rFonts w:hint="default"/>
      </w:rPr>
    </w:lvl>
  </w:abstractNum>
  <w:abstractNum w:abstractNumId="17">
    <w:nsid w:val="6D06E494"/>
    <w:multiLevelType w:val="singleLevel"/>
    <w:tmpl w:val="6D06E494"/>
    <w:lvl w:ilvl="0" w:tentative="0">
      <w:start w:val="1"/>
      <w:numFmt w:val="decimal"/>
      <w:lvlText w:val="%1."/>
      <w:lvlJc w:val="left"/>
      <w:pPr>
        <w:ind w:left="425" w:hanging="425"/>
      </w:pPr>
      <w:rPr>
        <w:rFonts w:hint="default"/>
      </w:rPr>
    </w:lvl>
  </w:abstractNum>
  <w:abstractNum w:abstractNumId="18">
    <w:nsid w:val="74FC3558"/>
    <w:multiLevelType w:val="singleLevel"/>
    <w:tmpl w:val="74FC3558"/>
    <w:lvl w:ilvl="0" w:tentative="0">
      <w:start w:val="1"/>
      <w:numFmt w:val="decimal"/>
      <w:lvlText w:val="%1."/>
      <w:lvlJc w:val="left"/>
      <w:pPr>
        <w:ind w:left="425" w:hanging="425"/>
      </w:pPr>
      <w:rPr>
        <w:rFonts w:hint="default"/>
      </w:rPr>
    </w:lvl>
  </w:abstractNum>
  <w:abstractNum w:abstractNumId="19">
    <w:nsid w:val="7C4119AC"/>
    <w:multiLevelType w:val="singleLevel"/>
    <w:tmpl w:val="7C4119AC"/>
    <w:lvl w:ilvl="0" w:tentative="0">
      <w:start w:val="1"/>
      <w:numFmt w:val="decimal"/>
      <w:lvlText w:val="%1."/>
      <w:lvlJc w:val="left"/>
      <w:pPr>
        <w:ind w:left="425" w:hanging="425"/>
      </w:pPr>
      <w:rPr>
        <w:rFonts w:hint="default"/>
      </w:rPr>
    </w:lvl>
  </w:abstractNum>
  <w:abstractNum w:abstractNumId="20">
    <w:nsid w:val="7DF8CDE6"/>
    <w:multiLevelType w:val="singleLevel"/>
    <w:tmpl w:val="7DF8CDE6"/>
    <w:lvl w:ilvl="0" w:tentative="0">
      <w:start w:val="1"/>
      <w:numFmt w:val="decimal"/>
      <w:suff w:val="space"/>
      <w:lvlText w:val="%1."/>
      <w:lvlJc w:val="left"/>
      <w:rPr>
        <w:rFonts w:hint="default"/>
        <w:b w:val="0"/>
        <w:bCs w:val="0"/>
      </w:rPr>
    </w:lvl>
  </w:abstractNum>
  <w:num w:numId="1">
    <w:abstractNumId w:val="13"/>
  </w:num>
  <w:num w:numId="2">
    <w:abstractNumId w:val="6"/>
  </w:num>
  <w:num w:numId="3">
    <w:abstractNumId w:val="17"/>
  </w:num>
  <w:num w:numId="4">
    <w:abstractNumId w:val="11"/>
  </w:num>
  <w:num w:numId="5">
    <w:abstractNumId w:val="12"/>
  </w:num>
  <w:num w:numId="6">
    <w:abstractNumId w:val="15"/>
  </w:num>
  <w:num w:numId="7">
    <w:abstractNumId w:val="14"/>
  </w:num>
  <w:num w:numId="8">
    <w:abstractNumId w:val="9"/>
  </w:num>
  <w:num w:numId="9">
    <w:abstractNumId w:val="18"/>
  </w:num>
  <w:num w:numId="10">
    <w:abstractNumId w:val="7"/>
  </w:num>
  <w:num w:numId="11">
    <w:abstractNumId w:val="19"/>
  </w:num>
  <w:num w:numId="12">
    <w:abstractNumId w:val="10"/>
  </w:num>
  <w:num w:numId="13">
    <w:abstractNumId w:val="16"/>
  </w:num>
  <w:num w:numId="14">
    <w:abstractNumId w:val="0"/>
  </w:num>
  <w:num w:numId="15">
    <w:abstractNumId w:val="5"/>
  </w:num>
  <w:num w:numId="16">
    <w:abstractNumId w:val="1"/>
  </w:num>
  <w:num w:numId="17">
    <w:abstractNumId w:val="2"/>
  </w:num>
  <w:num w:numId="18">
    <w:abstractNumId w:val="3"/>
  </w:num>
  <w:num w:numId="19">
    <w:abstractNumId w:val="4"/>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B3D"/>
    <w:rsid w:val="00011765"/>
    <w:rsid w:val="00013E71"/>
    <w:rsid w:val="000202DE"/>
    <w:rsid w:val="00041EC2"/>
    <w:rsid w:val="00052FA9"/>
    <w:rsid w:val="000A241C"/>
    <w:rsid w:val="000E5792"/>
    <w:rsid w:val="000F5BFC"/>
    <w:rsid w:val="00120350"/>
    <w:rsid w:val="00147B69"/>
    <w:rsid w:val="00166AA5"/>
    <w:rsid w:val="00175D14"/>
    <w:rsid w:val="001800D9"/>
    <w:rsid w:val="001831A4"/>
    <w:rsid w:val="001C5C27"/>
    <w:rsid w:val="001C7E2F"/>
    <w:rsid w:val="001D7F66"/>
    <w:rsid w:val="001F0B19"/>
    <w:rsid w:val="00254085"/>
    <w:rsid w:val="002860E7"/>
    <w:rsid w:val="00291EA6"/>
    <w:rsid w:val="002A3FAE"/>
    <w:rsid w:val="002B32C5"/>
    <w:rsid w:val="002D3A22"/>
    <w:rsid w:val="00355861"/>
    <w:rsid w:val="00363C63"/>
    <w:rsid w:val="00363F90"/>
    <w:rsid w:val="0037359C"/>
    <w:rsid w:val="00381E2C"/>
    <w:rsid w:val="003863A9"/>
    <w:rsid w:val="003B79C2"/>
    <w:rsid w:val="003D2204"/>
    <w:rsid w:val="003D28ED"/>
    <w:rsid w:val="00406582"/>
    <w:rsid w:val="00450A9F"/>
    <w:rsid w:val="0046170A"/>
    <w:rsid w:val="004A2B30"/>
    <w:rsid w:val="004A3931"/>
    <w:rsid w:val="004A67BD"/>
    <w:rsid w:val="004B578A"/>
    <w:rsid w:val="004F2B75"/>
    <w:rsid w:val="00516161"/>
    <w:rsid w:val="00572E0F"/>
    <w:rsid w:val="005948E6"/>
    <w:rsid w:val="005B4F3F"/>
    <w:rsid w:val="005D241D"/>
    <w:rsid w:val="00657E41"/>
    <w:rsid w:val="00662974"/>
    <w:rsid w:val="00671BF4"/>
    <w:rsid w:val="006723D4"/>
    <w:rsid w:val="006C2511"/>
    <w:rsid w:val="006F026B"/>
    <w:rsid w:val="007074BE"/>
    <w:rsid w:val="007173BA"/>
    <w:rsid w:val="00722EEF"/>
    <w:rsid w:val="00741E63"/>
    <w:rsid w:val="0074528C"/>
    <w:rsid w:val="00750F7C"/>
    <w:rsid w:val="00751FCF"/>
    <w:rsid w:val="007640C7"/>
    <w:rsid w:val="00780F4E"/>
    <w:rsid w:val="00791E35"/>
    <w:rsid w:val="007E6E04"/>
    <w:rsid w:val="00813F8C"/>
    <w:rsid w:val="00852179"/>
    <w:rsid w:val="00852E00"/>
    <w:rsid w:val="008C5C13"/>
    <w:rsid w:val="008D04C5"/>
    <w:rsid w:val="0091335B"/>
    <w:rsid w:val="009677B8"/>
    <w:rsid w:val="00985EAA"/>
    <w:rsid w:val="009C7312"/>
    <w:rsid w:val="009F1DD9"/>
    <w:rsid w:val="009F66C6"/>
    <w:rsid w:val="00A259BC"/>
    <w:rsid w:val="00A57EB9"/>
    <w:rsid w:val="00A762F1"/>
    <w:rsid w:val="00A94F81"/>
    <w:rsid w:val="00AE2B3D"/>
    <w:rsid w:val="00B01446"/>
    <w:rsid w:val="00B02315"/>
    <w:rsid w:val="00B042DA"/>
    <w:rsid w:val="00B72772"/>
    <w:rsid w:val="00B74FFC"/>
    <w:rsid w:val="00BD107D"/>
    <w:rsid w:val="00BE0702"/>
    <w:rsid w:val="00BE0AA5"/>
    <w:rsid w:val="00BE4560"/>
    <w:rsid w:val="00BF06C4"/>
    <w:rsid w:val="00BF175D"/>
    <w:rsid w:val="00C3447A"/>
    <w:rsid w:val="00C53C7D"/>
    <w:rsid w:val="00CB3B6B"/>
    <w:rsid w:val="00CB7D10"/>
    <w:rsid w:val="00CB7FCB"/>
    <w:rsid w:val="00CD2FD8"/>
    <w:rsid w:val="00CE1E2A"/>
    <w:rsid w:val="00CF1BCB"/>
    <w:rsid w:val="00D31DEC"/>
    <w:rsid w:val="00D3494B"/>
    <w:rsid w:val="00D36CC3"/>
    <w:rsid w:val="00D4124F"/>
    <w:rsid w:val="00D4465E"/>
    <w:rsid w:val="00D54610"/>
    <w:rsid w:val="00D64D3A"/>
    <w:rsid w:val="00D8582F"/>
    <w:rsid w:val="00DA16CC"/>
    <w:rsid w:val="00DC0044"/>
    <w:rsid w:val="00DC1F24"/>
    <w:rsid w:val="00DD5A00"/>
    <w:rsid w:val="00E02E4A"/>
    <w:rsid w:val="00E1571A"/>
    <w:rsid w:val="00E543B1"/>
    <w:rsid w:val="00E60550"/>
    <w:rsid w:val="00E701F6"/>
    <w:rsid w:val="00E70FBA"/>
    <w:rsid w:val="00E77EA7"/>
    <w:rsid w:val="00E925BB"/>
    <w:rsid w:val="00EA6795"/>
    <w:rsid w:val="00EB13BE"/>
    <w:rsid w:val="00EB1948"/>
    <w:rsid w:val="00EB7D63"/>
    <w:rsid w:val="00ED6AFA"/>
    <w:rsid w:val="00ED78F8"/>
    <w:rsid w:val="00EE21E1"/>
    <w:rsid w:val="00F00FA0"/>
    <w:rsid w:val="00F501D8"/>
    <w:rsid w:val="00F622C5"/>
    <w:rsid w:val="00F73A35"/>
    <w:rsid w:val="00F76A83"/>
    <w:rsid w:val="00FB3E71"/>
    <w:rsid w:val="00FC18AA"/>
    <w:rsid w:val="00FF67C5"/>
    <w:rsid w:val="016F77FF"/>
    <w:rsid w:val="04932CE9"/>
    <w:rsid w:val="11002FF6"/>
    <w:rsid w:val="15BA0732"/>
    <w:rsid w:val="16943199"/>
    <w:rsid w:val="17A06FDB"/>
    <w:rsid w:val="1B1047E0"/>
    <w:rsid w:val="273477E1"/>
    <w:rsid w:val="306058C5"/>
    <w:rsid w:val="382A218A"/>
    <w:rsid w:val="393A3157"/>
    <w:rsid w:val="3B3F300A"/>
    <w:rsid w:val="3D587C2C"/>
    <w:rsid w:val="400A1627"/>
    <w:rsid w:val="4914602A"/>
    <w:rsid w:val="55A542AC"/>
    <w:rsid w:val="5AA2511E"/>
    <w:rsid w:val="5FBD1D2A"/>
    <w:rsid w:val="645E0594"/>
    <w:rsid w:val="72AF24FC"/>
    <w:rsid w:val="7B107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360" w:lineRule="auto"/>
      <w:ind w:firstLine="480" w:firstLineChars="200"/>
      <w:jc w:val="both"/>
    </w:pPr>
    <w:rPr>
      <w:rFonts w:ascii="宋体" w:hAnsi="宋体" w:eastAsia="宋体" w:cstheme="minorBidi"/>
      <w:kern w:val="2"/>
      <w:sz w:val="24"/>
      <w:szCs w:val="24"/>
      <w:lang w:val="en-US" w:eastAsia="zh-CN" w:bidi="ar-SA"/>
    </w:rPr>
  </w:style>
  <w:style w:type="paragraph" w:styleId="4">
    <w:name w:val="heading 1"/>
    <w:basedOn w:val="5"/>
    <w:next w:val="1"/>
    <w:link w:val="26"/>
    <w:qFormat/>
    <w:uiPriority w:val="0"/>
    <w:pPr>
      <w:numPr>
        <w:ilvl w:val="0"/>
        <w:numId w:val="1"/>
      </w:numPr>
      <w:ind w:firstLine="0" w:firstLineChars="0"/>
      <w:outlineLvl w:val="0"/>
    </w:pPr>
    <w:rPr>
      <w:rFonts w:cs="宋体"/>
      <w:b/>
      <w:sz w:val="28"/>
    </w:rPr>
  </w:style>
  <w:style w:type="paragraph" w:styleId="6">
    <w:name w:val="heading 2"/>
    <w:basedOn w:val="4"/>
    <w:next w:val="1"/>
    <w:link w:val="27"/>
    <w:unhideWhenUsed/>
    <w:qFormat/>
    <w:uiPriority w:val="9"/>
    <w:pPr>
      <w:numPr>
        <w:ilvl w:val="1"/>
      </w:numPr>
      <w:outlineLvl w:val="1"/>
    </w:pPr>
  </w:style>
  <w:style w:type="paragraph" w:styleId="7">
    <w:name w:val="heading 3"/>
    <w:basedOn w:val="6"/>
    <w:next w:val="1"/>
    <w:link w:val="28"/>
    <w:unhideWhenUsed/>
    <w:qFormat/>
    <w:uiPriority w:val="9"/>
    <w:pPr>
      <w:numPr>
        <w:ilvl w:val="2"/>
      </w:numPr>
      <w:outlineLvl w:val="2"/>
    </w:pPr>
  </w:style>
  <w:style w:type="paragraph" w:styleId="8">
    <w:name w:val="heading 4"/>
    <w:basedOn w:val="1"/>
    <w:next w:val="1"/>
    <w:link w:val="2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9">
    <w:name w:val="heading 5"/>
    <w:basedOn w:val="1"/>
    <w:next w:val="1"/>
    <w:link w:val="30"/>
    <w:semiHidden/>
    <w:unhideWhenUsed/>
    <w:qFormat/>
    <w:uiPriority w:val="9"/>
    <w:pPr>
      <w:keepNext/>
      <w:keepLines/>
      <w:spacing w:before="80" w:after="40"/>
      <w:outlineLvl w:val="4"/>
    </w:pPr>
    <w:rPr>
      <w:rFonts w:cstheme="majorBidi"/>
      <w:color w:val="104862" w:themeColor="accent1" w:themeShade="BF"/>
    </w:rPr>
  </w:style>
  <w:style w:type="paragraph" w:styleId="10">
    <w:name w:val="heading 6"/>
    <w:basedOn w:val="1"/>
    <w:next w:val="1"/>
    <w:link w:val="31"/>
    <w:semiHidden/>
    <w:unhideWhenUsed/>
    <w:qFormat/>
    <w:uiPriority w:val="9"/>
    <w:pPr>
      <w:keepNext/>
      <w:keepLines/>
      <w:spacing w:before="40"/>
      <w:outlineLvl w:val="5"/>
    </w:pPr>
    <w:rPr>
      <w:rFonts w:cstheme="majorBidi"/>
      <w:b/>
      <w:bCs/>
      <w:color w:val="104862" w:themeColor="accent1" w:themeShade="BF"/>
    </w:rPr>
  </w:style>
  <w:style w:type="paragraph" w:styleId="11">
    <w:name w:val="heading 7"/>
    <w:basedOn w:val="1"/>
    <w:next w:val="1"/>
    <w:link w:val="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
    <w:basedOn w:val="1"/>
    <w:next w:val="3"/>
    <w:qFormat/>
    <w:uiPriority w:val="0"/>
    <w:pPr>
      <w:textAlignment w:val="baseline"/>
    </w:pPr>
    <w:rPr>
      <w:rFonts w:ascii="仿宋_GB2312" w:eastAsia="仿宋_GB2312"/>
      <w:sz w:val="32"/>
    </w:rPr>
  </w:style>
  <w:style w:type="paragraph" w:customStyle="1" w:styleId="3">
    <w:name w:val="BodyTextIndent"/>
    <w:basedOn w:val="1"/>
    <w:qFormat/>
    <w:uiPriority w:val="0"/>
    <w:pPr>
      <w:spacing w:line="700" w:lineRule="exact"/>
      <w:ind w:left="960"/>
      <w:textAlignment w:val="baseline"/>
    </w:pPr>
    <w:rPr>
      <w:rFonts w:ascii="Times New Roman" w:hAnsi="Times New Roman"/>
      <w:sz w:val="44"/>
    </w:rPr>
  </w:style>
  <w:style w:type="paragraph" w:styleId="5">
    <w:name w:val="List Paragraph"/>
    <w:basedOn w:val="1"/>
    <w:qFormat/>
    <w:uiPriority w:val="34"/>
    <w:pPr>
      <w:ind w:left="720"/>
      <w:contextualSpacing/>
    </w:pPr>
  </w:style>
  <w:style w:type="paragraph" w:styleId="14">
    <w:name w:val="annotation subject"/>
    <w:basedOn w:val="15"/>
    <w:next w:val="15"/>
    <w:link w:val="50"/>
    <w:semiHidden/>
    <w:unhideWhenUsed/>
    <w:qFormat/>
    <w:uiPriority w:val="99"/>
    <w:rPr>
      <w:b/>
      <w:bCs/>
    </w:rPr>
  </w:style>
  <w:style w:type="paragraph" w:styleId="15">
    <w:name w:val="annotation text"/>
    <w:basedOn w:val="1"/>
    <w:link w:val="49"/>
    <w:unhideWhenUsed/>
    <w:qFormat/>
    <w:uiPriority w:val="99"/>
    <w:pPr>
      <w:jc w:val="left"/>
    </w:pPr>
  </w:style>
  <w:style w:type="paragraph" w:styleId="16">
    <w:name w:val="Body Text"/>
    <w:basedOn w:val="1"/>
    <w:link w:val="48"/>
    <w:qFormat/>
    <w:uiPriority w:val="0"/>
    <w:pPr>
      <w:spacing w:after="120" w:line="240" w:lineRule="auto"/>
      <w:ind w:firstLine="0" w:firstLineChars="0"/>
    </w:pPr>
    <w:rPr>
      <w:rFonts w:ascii="Calibri" w:hAnsi="Calibri" w:cs="Calibri"/>
      <w:sz w:val="21"/>
    </w:rPr>
  </w:style>
  <w:style w:type="paragraph" w:styleId="17">
    <w:name w:val="footer"/>
    <w:basedOn w:val="1"/>
    <w:link w:val="46"/>
    <w:unhideWhenUsed/>
    <w:qFormat/>
    <w:uiPriority w:val="99"/>
    <w:pPr>
      <w:tabs>
        <w:tab w:val="center" w:pos="4153"/>
        <w:tab w:val="right" w:pos="8306"/>
      </w:tabs>
      <w:snapToGrid w:val="0"/>
      <w:jc w:val="left"/>
    </w:pPr>
    <w:rPr>
      <w:sz w:val="18"/>
      <w:szCs w:val="18"/>
    </w:rPr>
  </w:style>
  <w:style w:type="paragraph" w:styleId="18">
    <w:name w:val="header"/>
    <w:basedOn w:val="1"/>
    <w:link w:val="45"/>
    <w:unhideWhenUsed/>
    <w:qFormat/>
    <w:uiPriority w:val="99"/>
    <w:pPr>
      <w:tabs>
        <w:tab w:val="center" w:pos="4153"/>
        <w:tab w:val="right" w:pos="8306"/>
      </w:tabs>
      <w:snapToGrid w:val="0"/>
      <w:jc w:val="center"/>
    </w:pPr>
    <w:rPr>
      <w:sz w:val="18"/>
      <w:szCs w:val="18"/>
    </w:rPr>
  </w:style>
  <w:style w:type="paragraph" w:styleId="19">
    <w:name w:val="Subtitle"/>
    <w:basedOn w:val="1"/>
    <w:next w:val="1"/>
    <w:link w:val="3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Normal (Web)"/>
    <w:basedOn w:val="1"/>
    <w:unhideWhenUsed/>
    <w:qFormat/>
    <w:uiPriority w:val="0"/>
    <w:pPr>
      <w:spacing w:beforeAutospacing="1" w:afterAutospacing="1"/>
      <w:jc w:val="left"/>
    </w:pPr>
    <w:rPr>
      <w:rFonts w:ascii="Times New Roman" w:hAnsi="Times New Roman" w:eastAsia="楷体" w:cs="Times New Roman"/>
      <w:kern w:val="0"/>
    </w:rPr>
  </w:style>
  <w:style w:type="paragraph" w:styleId="21">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3">
    <w:name w:val="annotation reference"/>
    <w:basedOn w:val="22"/>
    <w:unhideWhenUsed/>
    <w:qFormat/>
    <w:uiPriority w:val="0"/>
    <w:rPr>
      <w:sz w:val="21"/>
      <w:szCs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标题 1 字符"/>
    <w:basedOn w:val="22"/>
    <w:link w:val="4"/>
    <w:qFormat/>
    <w:uiPriority w:val="0"/>
    <w:rPr>
      <w:rFonts w:ascii="宋体" w:hAnsi="宋体" w:eastAsia="宋体" w:cs="宋体"/>
      <w:b/>
      <w:sz w:val="28"/>
      <w:szCs w:val="24"/>
    </w:rPr>
  </w:style>
  <w:style w:type="character" w:customStyle="1" w:styleId="27">
    <w:name w:val="标题 2 字符"/>
    <w:basedOn w:val="22"/>
    <w:link w:val="6"/>
    <w:qFormat/>
    <w:uiPriority w:val="9"/>
    <w:rPr>
      <w:rFonts w:ascii="宋体" w:hAnsi="宋体" w:eastAsia="宋体" w:cs="宋体"/>
      <w:b/>
      <w:sz w:val="28"/>
    </w:rPr>
  </w:style>
  <w:style w:type="character" w:customStyle="1" w:styleId="28">
    <w:name w:val="标题 3 字符"/>
    <w:basedOn w:val="22"/>
    <w:link w:val="7"/>
    <w:qFormat/>
    <w:uiPriority w:val="9"/>
    <w:rPr>
      <w:rFonts w:ascii="宋体" w:hAnsi="宋体" w:eastAsia="宋体" w:cs="宋体"/>
      <w:b/>
      <w:sz w:val="28"/>
      <w:szCs w:val="24"/>
    </w:rPr>
  </w:style>
  <w:style w:type="character" w:customStyle="1" w:styleId="29">
    <w:name w:val="标题 4 字符"/>
    <w:basedOn w:val="22"/>
    <w:link w:val="8"/>
    <w:semiHidden/>
    <w:qFormat/>
    <w:uiPriority w:val="9"/>
    <w:rPr>
      <w:rFonts w:cstheme="majorBidi"/>
      <w:color w:val="104862" w:themeColor="accent1" w:themeShade="BF"/>
      <w:sz w:val="28"/>
      <w:szCs w:val="28"/>
    </w:rPr>
  </w:style>
  <w:style w:type="character" w:customStyle="1" w:styleId="30">
    <w:name w:val="标题 5 字符"/>
    <w:basedOn w:val="22"/>
    <w:link w:val="9"/>
    <w:semiHidden/>
    <w:qFormat/>
    <w:uiPriority w:val="9"/>
    <w:rPr>
      <w:rFonts w:cstheme="majorBidi"/>
      <w:color w:val="104862" w:themeColor="accent1" w:themeShade="BF"/>
      <w:sz w:val="24"/>
      <w:szCs w:val="24"/>
    </w:rPr>
  </w:style>
  <w:style w:type="character" w:customStyle="1" w:styleId="31">
    <w:name w:val="标题 6 字符"/>
    <w:basedOn w:val="22"/>
    <w:link w:val="10"/>
    <w:semiHidden/>
    <w:qFormat/>
    <w:uiPriority w:val="9"/>
    <w:rPr>
      <w:rFonts w:cstheme="majorBidi"/>
      <w:b/>
      <w:bCs/>
      <w:color w:val="104862" w:themeColor="accent1" w:themeShade="BF"/>
    </w:rPr>
  </w:style>
  <w:style w:type="character" w:customStyle="1" w:styleId="32">
    <w:name w:val="标题 7 字符"/>
    <w:basedOn w:val="22"/>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2"/>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2"/>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2"/>
    <w:link w:val="21"/>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2"/>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2"/>
    <w:link w:val="37"/>
    <w:qFormat/>
    <w:uiPriority w:val="29"/>
    <w:rPr>
      <w:i/>
      <w:iCs/>
      <w:color w:val="404040" w:themeColor="text1" w:themeTint="BF"/>
      <w14:textFill>
        <w14:solidFill>
          <w14:schemeClr w14:val="tx1">
            <w14:lumMod w14:val="75000"/>
            <w14:lumOff w14:val="25000"/>
          </w14:schemeClr>
        </w14:solidFill>
      </w14:textFill>
    </w:rPr>
  </w:style>
  <w:style w:type="character" w:customStyle="1" w:styleId="39">
    <w:name w:val="明显强调1"/>
    <w:basedOn w:val="22"/>
    <w:qFormat/>
    <w:uiPriority w:val="21"/>
    <w:rPr>
      <w:i/>
      <w:iCs/>
      <w:color w:val="104862" w:themeColor="accent1" w:themeShade="BF"/>
    </w:rPr>
  </w:style>
  <w:style w:type="paragraph" w:styleId="40">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1">
    <w:name w:val="明显引用 字符"/>
    <w:basedOn w:val="22"/>
    <w:link w:val="40"/>
    <w:qFormat/>
    <w:uiPriority w:val="30"/>
    <w:rPr>
      <w:i/>
      <w:iCs/>
      <w:color w:val="104862" w:themeColor="accent1" w:themeShade="BF"/>
    </w:rPr>
  </w:style>
  <w:style w:type="character" w:customStyle="1" w:styleId="42">
    <w:name w:val="明显参考1"/>
    <w:basedOn w:val="22"/>
    <w:qFormat/>
    <w:uiPriority w:val="32"/>
    <w:rPr>
      <w:b/>
      <w:bCs/>
      <w:smallCaps/>
      <w:color w:val="104862" w:themeColor="accent1" w:themeShade="BF"/>
      <w:spacing w:val="5"/>
    </w:rPr>
  </w:style>
  <w:style w:type="paragraph" w:customStyle="1" w:styleId="43">
    <w:name w:val="列表段落1"/>
    <w:basedOn w:val="1"/>
    <w:link w:val="44"/>
    <w:qFormat/>
    <w:uiPriority w:val="0"/>
    <w:pPr>
      <w:ind w:firstLine="420"/>
    </w:pPr>
  </w:style>
  <w:style w:type="character" w:customStyle="1" w:styleId="44">
    <w:name w:val="列表段落 字符"/>
    <w:link w:val="43"/>
    <w:qFormat/>
    <w:uiPriority w:val="0"/>
    <w:rPr>
      <w:sz w:val="24"/>
      <w:szCs w:val="24"/>
    </w:rPr>
  </w:style>
  <w:style w:type="character" w:customStyle="1" w:styleId="45">
    <w:name w:val="页眉 字符"/>
    <w:basedOn w:val="22"/>
    <w:link w:val="18"/>
    <w:qFormat/>
    <w:uiPriority w:val="99"/>
    <w:rPr>
      <w:sz w:val="18"/>
      <w:szCs w:val="18"/>
    </w:rPr>
  </w:style>
  <w:style w:type="character" w:customStyle="1" w:styleId="46">
    <w:name w:val="页脚 字符"/>
    <w:basedOn w:val="22"/>
    <w:link w:val="17"/>
    <w:qFormat/>
    <w:uiPriority w:val="99"/>
    <w:rPr>
      <w:sz w:val="18"/>
      <w:szCs w:val="18"/>
    </w:rPr>
  </w:style>
  <w:style w:type="paragraph" w:customStyle="1" w:styleId="47">
    <w:name w:val="Table Paragraph"/>
    <w:basedOn w:val="1"/>
    <w:unhideWhenUsed/>
    <w:qFormat/>
    <w:uiPriority w:val="1"/>
    <w:rPr>
      <w:szCs w:val="20"/>
    </w:rPr>
  </w:style>
  <w:style w:type="character" w:customStyle="1" w:styleId="48">
    <w:name w:val="正文文本 字符"/>
    <w:basedOn w:val="22"/>
    <w:link w:val="16"/>
    <w:qFormat/>
    <w:uiPriority w:val="0"/>
    <w:rPr>
      <w:rFonts w:ascii="Calibri" w:hAnsi="Calibri" w:eastAsia="宋体" w:cs="Calibri"/>
      <w:szCs w:val="24"/>
    </w:rPr>
  </w:style>
  <w:style w:type="character" w:customStyle="1" w:styleId="49">
    <w:name w:val="批注文字 字符"/>
    <w:basedOn w:val="22"/>
    <w:link w:val="15"/>
    <w:qFormat/>
    <w:uiPriority w:val="99"/>
    <w:rPr>
      <w:rFonts w:ascii="宋体" w:hAnsi="宋体" w:eastAsia="宋体"/>
      <w:sz w:val="24"/>
      <w:szCs w:val="24"/>
    </w:rPr>
  </w:style>
  <w:style w:type="character" w:customStyle="1" w:styleId="50">
    <w:name w:val="批注主题 字符"/>
    <w:basedOn w:val="49"/>
    <w:link w:val="14"/>
    <w:semiHidden/>
    <w:qFormat/>
    <w:uiPriority w:val="99"/>
    <w:rPr>
      <w:rFonts w:ascii="宋体" w:hAnsi="宋体" w:eastAsia="宋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8070</Words>
  <Characters>8474</Characters>
  <Lines>651</Lines>
  <Paragraphs>533</Paragraphs>
  <TotalTime>20</TotalTime>
  <ScaleCrop>false</ScaleCrop>
  <LinksUpToDate>false</LinksUpToDate>
  <CharactersWithSpaces>16011</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2025-04-10T11:27:00Z</dcterms:created>
  <dc:creator>yong tang</dc:creator>
  <cp:lastModifiedBy>李嘉</cp:lastModifiedBy>
  <dcterms:modified xsi:type="dcterms:W3CDTF">2026-06-26T08:47:18Z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eyJoZGlkIjoiYWZlZWFjNjQzYjk5YjE5NTJhMjFiNGYxOTkyZGE2OWEiLCJ1c2VySWQiOiIyODkwMTIxMjkifQ==</vt:lpwstr>
  </property>
  <property fmtid="{D5CDD505-2E9C-101B-9397-08002B2CF9AE}" pid="3" name="KSOProductBuildVer">
    <vt:lpwstr>2052-10.8.2.7119</vt:lpwstr>
  </property>
  <property fmtid="{D5CDD505-2E9C-101B-9397-08002B2CF9AE}" pid="4" name="ICV">
    <vt:lpwstr>045053B2D35C401A992D649F1BB38EE3_13</vt:lpwstr>
  </property>
</Properties>
</file>