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5F104">
      <w:pPr>
        <w:jc w:val="center"/>
        <w:rPr>
          <w:rFonts w:hint="eastAsia" w:ascii="宋体" w:hAnsi="宋体" w:eastAsia="宋体"/>
          <w:b/>
          <w:bCs/>
          <w:sz w:val="32"/>
          <w:szCs w:val="32"/>
        </w:rPr>
      </w:pPr>
      <w:r>
        <w:rPr>
          <w:rFonts w:hint="eastAsia" w:ascii="宋体" w:hAnsi="宋体" w:eastAsia="宋体"/>
          <w:b/>
          <w:bCs/>
          <w:sz w:val="32"/>
          <w:szCs w:val="32"/>
        </w:rPr>
        <w:t>疼痛科设备技术参数</w:t>
      </w:r>
    </w:p>
    <w:p w14:paraId="2EEEC902">
      <w:pPr>
        <w:spacing w:line="360" w:lineRule="auto"/>
        <w:jc w:val="left"/>
        <w:rPr>
          <w:rFonts w:hint="eastAsia" w:ascii="宋体" w:hAnsi="宋体" w:eastAsia="宋体" w:cs="宋体"/>
          <w:sz w:val="24"/>
          <w:szCs w:val="24"/>
        </w:rPr>
      </w:pPr>
    </w:p>
    <w:p w14:paraId="077DC022">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rPr>
        <w:t>一、中频电疗仪（中频脉冲治疗仪-四通道）</w:t>
      </w:r>
      <w:r>
        <w:rPr>
          <w:rFonts w:hint="eastAsia" w:ascii="宋体" w:hAnsi="宋体" w:eastAsia="宋体" w:cs="宋体"/>
          <w:sz w:val="24"/>
          <w:szCs w:val="24"/>
          <w:lang w:val="en-US" w:eastAsia="zh-CN"/>
        </w:rPr>
        <w:t>,数量:2台。</w:t>
      </w:r>
    </w:p>
    <w:p w14:paraId="7E409DCE">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1、输入功率:120VA；</w:t>
      </w:r>
    </w:p>
    <w:p w14:paraId="0FF2F6A7">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2、使用电源：220V，50Hz；</w:t>
      </w:r>
    </w:p>
    <w:p w14:paraId="76ED203C">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3、台面款，液晶触摸屏操作；</w:t>
      </w:r>
    </w:p>
    <w:p w14:paraId="01FA8726">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4、具有4路输出通道，4路可独立控制，同时治疗4名患者或4个部位；亦可组合使用，形成2组干扰电数量；</w:t>
      </w:r>
    </w:p>
    <w:p w14:paraId="031F7F45">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5、具有5种治疗模式：多步模式、音频模式、正弦调制、脉冲调制、干扰模式；</w:t>
      </w:r>
    </w:p>
    <w:p w14:paraId="6A6231F7">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6、具有102</w:t>
      </w:r>
      <w:r>
        <w:rPr>
          <w:rFonts w:hint="eastAsia" w:ascii="宋体" w:hAnsi="宋体" w:eastAsia="宋体" w:cs="宋体"/>
          <w:sz w:val="24"/>
          <w:szCs w:val="24"/>
          <w:lang w:val="en-US" w:eastAsia="zh-CN"/>
        </w:rPr>
        <w:t>个</w:t>
      </w:r>
      <w:r>
        <w:rPr>
          <w:rFonts w:hint="eastAsia" w:ascii="宋体" w:hAnsi="宋体" w:eastAsia="宋体" w:cs="宋体"/>
          <w:sz w:val="24"/>
          <w:szCs w:val="24"/>
        </w:rPr>
        <w:t>内置处方</w:t>
      </w:r>
      <w:r>
        <w:rPr>
          <w:rFonts w:hint="eastAsia" w:ascii="宋体" w:hAnsi="宋体" w:eastAsia="宋体" w:cs="宋体"/>
          <w:sz w:val="24"/>
          <w:szCs w:val="24"/>
          <w:lang w:val="en-US" w:eastAsia="zh-CN"/>
        </w:rPr>
        <w:t>方案</w:t>
      </w:r>
      <w:r>
        <w:rPr>
          <w:rFonts w:hint="eastAsia" w:ascii="宋体" w:hAnsi="宋体" w:eastAsia="宋体" w:cs="宋体"/>
          <w:sz w:val="24"/>
          <w:szCs w:val="24"/>
        </w:rPr>
        <w:t>，选择多样，灵活适配；</w:t>
      </w:r>
    </w:p>
    <w:p w14:paraId="5423AE89">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7、输出电流：≤50mA；</w:t>
      </w:r>
    </w:p>
    <w:p w14:paraId="77EB9FD9">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8、载波频率：1kHz～12kHz，允差±10%；</w:t>
      </w:r>
    </w:p>
    <w:p w14:paraId="25603F1F">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9、载波波形：脉冲波；</w:t>
      </w:r>
    </w:p>
    <w:p w14:paraId="78624254">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10、调制波频率：0～150Hz，允差±10%；</w:t>
      </w:r>
    </w:p>
    <w:p w14:paraId="6C9787F3">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11、具有8种调制波波形：方波、正弦波、三角波、锯齿波、指数波、扇形波、梯形波、尖波；</w:t>
      </w:r>
    </w:p>
    <w:p w14:paraId="0C4763CD">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12、差频频率范围：0～200Hz范围内的单一值，允差在±10%或±1Hz；</w:t>
      </w:r>
    </w:p>
    <w:p w14:paraId="29CC5FF4">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13、差频变化周期：15～30s，允差±10%；</w:t>
      </w:r>
    </w:p>
    <w:p w14:paraId="2089DB20">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14、动态节律：4～10s，允差±10%</w:t>
      </w:r>
    </w:p>
    <w:p w14:paraId="63A8190A">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15、调幅度：0～100%的范围内的单一值，调幅度允差±5%；</w:t>
      </w:r>
    </w:p>
    <w:p w14:paraId="42D57A3C">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16、定时功能：1～99min，步长为1min；</w:t>
      </w:r>
    </w:p>
    <w:p w14:paraId="12BF3554">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17、干扰电输出：</w:t>
      </w:r>
    </w:p>
    <w:p w14:paraId="4C6D8FB6">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(1)电疗仪具有双路（二维）干扰输出；</w:t>
      </w:r>
    </w:p>
    <w:p w14:paraId="222F1BCD">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(2)具有普通模式、动态模式、调制模式、对极模式四种干扰模式；</w:t>
      </w:r>
    </w:p>
    <w:p w14:paraId="044A436B">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18.电极加热功能：电极板温度：38℃～42℃，分10档可调，允差±3℃；</w:t>
      </w:r>
    </w:p>
    <w:p w14:paraId="30091F56">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19.具有四大安全保护</w:t>
      </w:r>
    </w:p>
    <w:p w14:paraId="41F08D99">
      <w:pPr>
        <w:spacing w:line="360" w:lineRule="auto"/>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20.配置清单</w:t>
      </w:r>
    </w:p>
    <w:p w14:paraId="30E061CA">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主机一台</w:t>
      </w:r>
    </w:p>
    <w:p w14:paraId="18EB97D2">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连接线4条</w:t>
      </w:r>
      <w:bookmarkStart w:id="0" w:name="_GoBack"/>
      <w:bookmarkEnd w:id="0"/>
    </w:p>
    <w:p w14:paraId="33C04E19">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硅橡胶加热电极4片</w:t>
      </w:r>
    </w:p>
    <w:p w14:paraId="1C5A778A">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rPr>
        <w:t>二、微波治疗机(</w:t>
      </w:r>
      <w:r>
        <w:rPr>
          <w:rFonts w:hint="eastAsia" w:ascii="宋体" w:hAnsi="宋体" w:eastAsia="宋体" w:cs="宋体"/>
          <w:sz w:val="24"/>
          <w:szCs w:val="24"/>
          <w:lang w:val="en-US" w:eastAsia="zh-CN"/>
        </w:rPr>
        <w:t>智能化微波炎症治疗机</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数量:3台。</w:t>
      </w:r>
    </w:p>
    <w:p w14:paraId="55A8A287">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产品构成:采用一体化豪华型推车机柜的主机，采用有安全装置的高频同轴铜芯理疗专用输出馈线，采用精准定位的全自动重力支架，采用有能量发射加强装置的专用理疗辐射器，采用多芯特软的医用专用电源线，采用医用专用开关集成器的脚踏开关，采用兼具屏蔽性与发射性好的特殊专用材质的手术热凝器组成了整个产品。</w:t>
      </w:r>
    </w:p>
    <w:p w14:paraId="416FF421">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2、产品输出功能：有连续波理疗、手术治疗两种种工作状态，而两种状态间的转换通过按面板上的“功能”键来选择，通过状态指示灯可以指示机器现在的工作状态一功能键上面变亮指示灯所对应的状态即为现在的状态。</w:t>
      </w:r>
    </w:p>
    <w:p w14:paraId="7EF55CB8">
      <w:pPr>
        <w:spacing w:line="360" w:lineRule="auto"/>
        <w:ind w:left="210" w:leftChars="100"/>
        <w:jc w:val="left"/>
        <w:rPr>
          <w:rFonts w:hint="eastAsia" w:ascii="宋体" w:hAnsi="宋体" w:eastAsia="宋体" w:cs="宋体"/>
          <w:sz w:val="24"/>
          <w:szCs w:val="24"/>
        </w:rPr>
      </w:pPr>
      <w:r>
        <w:rPr>
          <w:rFonts w:hint="eastAsia" w:ascii="宋体" w:hAnsi="宋体" w:eastAsia="宋体" w:cs="宋体"/>
          <w:sz w:val="24"/>
          <w:szCs w:val="24"/>
        </w:rPr>
        <w:t xml:space="preserve">3、性能参数：                                                        （1）工作频率＞2000MHz。 </w:t>
      </w:r>
    </w:p>
    <w:p w14:paraId="25F2EAAB">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（2）微波输出功率为0至99W；输出时间为0至30分；步进1或10，均连续调节，可循环。</w:t>
      </w:r>
    </w:p>
    <w:p w14:paraId="73216448">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（3）微波理疗辐照器：圆形￠145-160mm、马鞍形350mm-360mmX110mm-120mmX40mm-60mm。</w:t>
      </w:r>
    </w:p>
    <w:p w14:paraId="631106E7">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（4）设备具备时间设置记忆功能。</w:t>
      </w:r>
    </w:p>
    <w:p w14:paraId="1F42C9BA">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（5）设备具有功率调整自适应功能。</w:t>
      </w:r>
    </w:p>
    <w:p w14:paraId="60419712">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（6）设备具有功率自动加强保护功能：具备超温、误操作、闭锁、过载保护功能。</w:t>
      </w:r>
    </w:p>
    <w:p w14:paraId="4F4D77B6">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（7）设备内置智能故障实时自检功能：动态监测设备运行状况，精准显示故障代码。设备具有输出馈线、磁控管超温报警功能。</w:t>
      </w:r>
    </w:p>
    <w:p w14:paraId="69F669B7">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（8）适用范围：适用于妇科、皮肤科、口腔科、耳鼻咽喉科、肛肠科、康复理疗科、泌尿外科等多个科室的表浅部位疾病及部分炎症的治疗。</w:t>
      </w:r>
    </w:p>
    <w:p w14:paraId="2D428133">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（9）主机采用一体化推车机柜；传输馈线采用新型同轴微波传输线保护机构。</w:t>
      </w:r>
    </w:p>
    <w:p w14:paraId="50D32EE6">
      <w:pPr>
        <w:spacing w:line="360" w:lineRule="auto"/>
        <w:ind w:firstLine="240" w:firstLineChars="100"/>
        <w:jc w:val="left"/>
        <w:rPr>
          <w:rFonts w:hint="eastAsia" w:ascii="宋体" w:hAnsi="宋体" w:eastAsia="宋体" w:cs="宋体"/>
          <w:sz w:val="24"/>
          <w:szCs w:val="24"/>
        </w:rPr>
      </w:pPr>
      <w:r>
        <w:rPr>
          <w:rFonts w:hint="eastAsia" w:ascii="宋体" w:hAnsi="宋体" w:eastAsia="宋体" w:cs="宋体"/>
          <w:sz w:val="24"/>
          <w:szCs w:val="24"/>
        </w:rPr>
        <w:t>（10）设备使用寿命＞5年</w:t>
      </w:r>
    </w:p>
    <w:p w14:paraId="3FBDDE3E">
      <w:p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4、配置清单</w:t>
      </w:r>
    </w:p>
    <w:p w14:paraId="672FCC78">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（1）立式</w:t>
      </w:r>
      <w:r>
        <w:rPr>
          <w:rFonts w:hint="eastAsia" w:ascii="宋体" w:hAnsi="宋体" w:eastAsia="宋体" w:cs="宋体"/>
          <w:sz w:val="24"/>
          <w:szCs w:val="24"/>
        </w:rPr>
        <w:t>主机</w:t>
      </w:r>
      <w:r>
        <w:rPr>
          <w:rFonts w:hint="eastAsia" w:ascii="宋体" w:hAnsi="宋体" w:eastAsia="宋体" w:cs="宋体"/>
          <w:sz w:val="24"/>
          <w:szCs w:val="24"/>
          <w:lang w:val="en-US" w:eastAsia="zh-CN"/>
        </w:rPr>
        <w:t xml:space="preserve">     1台</w:t>
      </w:r>
    </w:p>
    <w:p w14:paraId="647711D7">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（2）非接触理疗应用器（大圆柱形）    1个</w:t>
      </w:r>
    </w:p>
    <w:p w14:paraId="0212A639">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360" w:lineRule="auto"/>
        <w:ind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（3）非接触理疗应用器（马鞍形）      1个</w:t>
      </w:r>
    </w:p>
    <w:p w14:paraId="725760FB">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（4）输出电缆（理疗）    1根</w:t>
      </w:r>
    </w:p>
    <w:p w14:paraId="60F156CA">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（5）支架    1支</w:t>
      </w:r>
    </w:p>
    <w:p w14:paraId="1EAE5FD7">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（6）电源线    1根</w:t>
      </w:r>
    </w:p>
    <w:p w14:paraId="1FDB7D68">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360" w:lineRule="auto"/>
        <w:ind w:lef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（7）熔断器    2支</w:t>
      </w:r>
    </w:p>
    <w:p w14:paraId="5719098C">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leftChars="0" w:firstLine="280" w:firstLineChars="100"/>
        <w:jc w:val="both"/>
        <w:textAlignment w:val="auto"/>
        <w:rPr>
          <w:rFonts w:hint="default" w:ascii="仿宋" w:hAnsi="仿宋" w:eastAsia="仿宋" w:cs="仿宋"/>
          <w:sz w:val="28"/>
          <w:szCs w:val="28"/>
          <w:lang w:val="en-US" w:eastAsia="zh-CN"/>
        </w:rPr>
      </w:pPr>
    </w:p>
    <w:p w14:paraId="1F15F6E3">
      <w:pPr>
        <w:spacing w:line="360" w:lineRule="auto"/>
        <w:ind w:firstLine="3132" w:firstLineChars="1300"/>
        <w:jc w:val="both"/>
        <w:rPr>
          <w:rFonts w:hint="eastAsia" w:ascii="宋体" w:hAnsi="宋体" w:eastAsia="宋体" w:cs="宋体"/>
          <w:b/>
          <w:bCs/>
          <w:sz w:val="24"/>
          <w:szCs w:val="24"/>
        </w:rPr>
      </w:pPr>
    </w:p>
    <w:p w14:paraId="3ABFF637">
      <w:pPr>
        <w:spacing w:line="360" w:lineRule="auto"/>
        <w:ind w:firstLine="3132" w:firstLineChars="1300"/>
        <w:jc w:val="both"/>
        <w:rPr>
          <w:rFonts w:hint="eastAsia" w:ascii="宋体" w:hAnsi="宋体" w:eastAsia="宋体" w:cs="宋体"/>
          <w:b/>
          <w:bCs/>
          <w:sz w:val="24"/>
          <w:szCs w:val="24"/>
        </w:rPr>
      </w:pPr>
      <w:r>
        <w:rPr>
          <w:rFonts w:hint="eastAsia" w:ascii="宋体" w:hAnsi="宋体" w:eastAsia="宋体" w:cs="宋体"/>
          <w:b/>
          <w:bCs/>
          <w:sz w:val="24"/>
          <w:szCs w:val="24"/>
        </w:rPr>
        <w:t>投标人条件</w:t>
      </w:r>
    </w:p>
    <w:p w14:paraId="71EDE6E5">
      <w:pPr>
        <w:spacing w:line="360" w:lineRule="auto"/>
        <w:rPr>
          <w:rFonts w:hint="eastAsia" w:ascii="宋体" w:hAnsi="宋体" w:eastAsia="宋体" w:cs="宋体"/>
          <w:sz w:val="24"/>
          <w:szCs w:val="24"/>
        </w:rPr>
      </w:pPr>
      <w:r>
        <w:rPr>
          <w:rFonts w:hint="eastAsia" w:ascii="宋体" w:hAnsi="宋体" w:eastAsia="宋体" w:cs="宋体"/>
          <w:sz w:val="24"/>
          <w:szCs w:val="24"/>
        </w:rPr>
        <w:t>1.投标人必须具有销售、安装、维修保养能力。</w:t>
      </w:r>
    </w:p>
    <w:p w14:paraId="7EEB8D3D">
      <w:pPr>
        <w:spacing w:line="360" w:lineRule="auto"/>
        <w:rPr>
          <w:rFonts w:hint="eastAsia" w:ascii="宋体" w:hAnsi="宋体" w:eastAsia="宋体" w:cs="宋体"/>
          <w:sz w:val="24"/>
          <w:szCs w:val="24"/>
        </w:rPr>
      </w:pPr>
      <w:r>
        <w:rPr>
          <w:rFonts w:hint="eastAsia" w:ascii="宋体" w:hAnsi="宋体" w:eastAsia="宋体" w:cs="宋体"/>
          <w:sz w:val="24"/>
          <w:szCs w:val="24"/>
        </w:rPr>
        <w:t>2.投标人必须为合格设备制造商及其合法授权的代理商。</w:t>
      </w:r>
    </w:p>
    <w:p w14:paraId="2DC53B07">
      <w:pPr>
        <w:spacing w:line="360" w:lineRule="auto"/>
        <w:rPr>
          <w:rFonts w:hint="eastAsia" w:ascii="宋体" w:hAnsi="宋体" w:eastAsia="宋体" w:cs="宋体"/>
          <w:sz w:val="24"/>
          <w:szCs w:val="24"/>
        </w:rPr>
      </w:pPr>
      <w:r>
        <w:rPr>
          <w:rFonts w:hint="eastAsia" w:ascii="宋体" w:hAnsi="宋体" w:eastAsia="宋体" w:cs="宋体"/>
          <w:sz w:val="24"/>
          <w:szCs w:val="24"/>
        </w:rPr>
        <w:t>3.产品质量保证规范符合中华人民共和国国家相关标准。</w:t>
      </w:r>
    </w:p>
    <w:p w14:paraId="32A5EDCE">
      <w:pPr>
        <w:spacing w:line="360" w:lineRule="auto"/>
        <w:rPr>
          <w:rFonts w:hint="eastAsia" w:ascii="宋体" w:hAnsi="宋体" w:eastAsia="宋体" w:cs="宋体"/>
          <w:sz w:val="24"/>
          <w:szCs w:val="24"/>
        </w:rPr>
      </w:pPr>
      <w:r>
        <w:rPr>
          <w:rFonts w:hint="eastAsia" w:ascii="宋体" w:hAnsi="宋体" w:eastAsia="宋体" w:cs="宋体"/>
          <w:sz w:val="24"/>
          <w:szCs w:val="24"/>
        </w:rPr>
        <w:t>4.投标人应按照医院要求将设备接入医院信息系统，接入系统产生的所有费用由投标人承担。</w:t>
      </w:r>
    </w:p>
    <w:p w14:paraId="7A6D9114">
      <w:pPr>
        <w:spacing w:line="360" w:lineRule="auto"/>
        <w:rPr>
          <w:rFonts w:hint="eastAsia" w:ascii="宋体" w:hAnsi="宋体" w:eastAsia="宋体" w:cs="宋体"/>
          <w:sz w:val="24"/>
          <w:szCs w:val="24"/>
        </w:rPr>
      </w:pPr>
      <w:r>
        <w:rPr>
          <w:rFonts w:hint="eastAsia" w:ascii="宋体" w:hAnsi="宋体" w:eastAsia="宋体" w:cs="宋体"/>
          <w:sz w:val="24"/>
          <w:szCs w:val="24"/>
        </w:rPr>
        <w:t>5.付款方式:安装验收调试合格，正常运行后，手续齐全的情况下60日付款。</w:t>
      </w:r>
    </w:p>
    <w:p w14:paraId="66B474BD">
      <w:pPr>
        <w:spacing w:line="360" w:lineRule="auto"/>
        <w:rPr>
          <w:rFonts w:hint="eastAsia" w:ascii="宋体" w:hAnsi="宋体" w:eastAsia="宋体" w:cs="宋体"/>
          <w:sz w:val="24"/>
          <w:szCs w:val="24"/>
        </w:rPr>
      </w:pPr>
      <w:r>
        <w:rPr>
          <w:rFonts w:hint="eastAsia" w:ascii="宋体" w:hAnsi="宋体" w:eastAsia="宋体" w:cs="宋体"/>
          <w:sz w:val="24"/>
          <w:szCs w:val="24"/>
        </w:rPr>
        <w:t>6.设备整机质保期为三年，质保范围包括主机、所有配件及消耗性材料，设备出现故障</w:t>
      </w:r>
      <w:r>
        <w:rPr>
          <w:rFonts w:hint="eastAsia" w:ascii="宋体" w:hAnsi="宋体" w:eastAsia="宋体" w:cs="宋体"/>
          <w:sz w:val="24"/>
          <w:szCs w:val="24"/>
          <w:lang w:val="en-US" w:eastAsia="zh-CN"/>
        </w:rPr>
        <w:t>2</w:t>
      </w:r>
      <w:r>
        <w:rPr>
          <w:rFonts w:hint="eastAsia" w:ascii="宋体" w:hAnsi="宋体" w:eastAsia="宋体" w:cs="宋体"/>
          <w:sz w:val="24"/>
          <w:szCs w:val="24"/>
        </w:rPr>
        <w:t>小时内</w:t>
      </w:r>
      <w:r>
        <w:rPr>
          <w:rFonts w:hint="eastAsia" w:ascii="宋体" w:hAnsi="宋体" w:eastAsia="宋体" w:cs="宋体"/>
          <w:sz w:val="24"/>
          <w:szCs w:val="24"/>
          <w:lang w:val="en-US" w:eastAsia="zh-CN"/>
        </w:rPr>
        <w:t>响应，24小时内到达医院</w:t>
      </w:r>
      <w:r>
        <w:rPr>
          <w:rFonts w:hint="eastAsia" w:ascii="宋体" w:hAnsi="宋体" w:eastAsia="宋体" w:cs="宋体"/>
          <w:sz w:val="24"/>
          <w:szCs w:val="24"/>
        </w:rPr>
        <w:t>现场维修该设备。如保修期内中标单位未按时履行维修义务，按总价的百分之五，向医院支付违约金，造成医院损失，中标单位另行赔偿。</w:t>
      </w:r>
    </w:p>
    <w:p w14:paraId="76D5AC5C">
      <w:pPr>
        <w:pStyle w:val="31"/>
        <w:numPr>
          <w:ilvl w:val="0"/>
          <w:numId w:val="0"/>
        </w:numPr>
        <w:spacing w:line="360" w:lineRule="exact"/>
        <w:jc w:val="left"/>
        <w:rPr>
          <w:rFonts w:cs="宋体" w:asciiTheme="minorEastAsia" w:hAnsiTheme="minorEastAsia"/>
          <w:sz w:val="24"/>
          <w:szCs w:val="24"/>
        </w:rPr>
      </w:pPr>
    </w:p>
    <w:p w14:paraId="6A8E7D4A">
      <w:pPr>
        <w:spacing w:line="360" w:lineRule="auto"/>
        <w:rPr>
          <w:rFonts w:hint="eastAsia" w:ascii="宋体" w:hAnsi="宋体" w:eastAsia="宋体" w:cs="宋体"/>
          <w:sz w:val="24"/>
          <w:szCs w:val="24"/>
        </w:rPr>
      </w:pPr>
    </w:p>
    <w:p w14:paraId="11A96260">
      <w:pPr>
        <w:keepNext w:val="0"/>
        <w:keepLines w:val="0"/>
        <w:pageBreakBefore w:val="0"/>
        <w:widowControl w:val="0"/>
        <w:kinsoku/>
        <w:wordWrap/>
        <w:overflowPunct/>
        <w:topLinePunct w:val="0"/>
        <w:autoSpaceDE/>
        <w:autoSpaceDN/>
        <w:bidi w:val="0"/>
        <w:adjustRightInd/>
        <w:snapToGrid/>
        <w:spacing w:beforeAutospacing="0" w:after="0" w:afterAutospacing="0" w:line="800" w:lineRule="exact"/>
        <w:ind w:firstLine="1035" w:firstLineChars="200"/>
        <w:jc w:val="both"/>
        <w:textAlignment w:val="auto"/>
        <w:rPr>
          <w:rFonts w:hint="eastAsia" w:ascii="宋体" w:hAnsi="宋体" w:eastAsia="宋体" w:cs="宋体"/>
          <w:b/>
          <w:bCs/>
          <w:spacing w:val="38"/>
          <w:kern w:val="44"/>
          <w:sz w:val="44"/>
          <w:szCs w:val="44"/>
          <w:u w:val="double"/>
        </w:rPr>
      </w:pPr>
    </w:p>
    <w:p w14:paraId="14959743">
      <w:pPr>
        <w:spacing w:beforeAutospacing="0" w:line="360" w:lineRule="auto"/>
        <w:ind w:firstLine="240" w:firstLineChars="100"/>
        <w:jc w:val="left"/>
        <w:rPr>
          <w:rFonts w:hint="eastAsia" w:ascii="宋体" w:hAnsi="宋体" w:eastAsia="宋体"/>
          <w:sz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601"/>
    <w:rsid w:val="00005E12"/>
    <w:rsid w:val="0000723C"/>
    <w:rsid w:val="000A3601"/>
    <w:rsid w:val="000E0862"/>
    <w:rsid w:val="00362B7B"/>
    <w:rsid w:val="00593906"/>
    <w:rsid w:val="005F7F08"/>
    <w:rsid w:val="00684DF2"/>
    <w:rsid w:val="00711583"/>
    <w:rsid w:val="00723277"/>
    <w:rsid w:val="007531FE"/>
    <w:rsid w:val="00852107"/>
    <w:rsid w:val="009054D4"/>
    <w:rsid w:val="00A42A26"/>
    <w:rsid w:val="00D5540A"/>
    <w:rsid w:val="00DA71EC"/>
    <w:rsid w:val="00EF40B1"/>
    <w:rsid w:val="00FE7CF2"/>
    <w:rsid w:val="0200466B"/>
    <w:rsid w:val="0E7E5B3C"/>
    <w:rsid w:val="108D2A2C"/>
    <w:rsid w:val="109D6377"/>
    <w:rsid w:val="186B56B7"/>
    <w:rsid w:val="23EE2A74"/>
    <w:rsid w:val="33EF50C4"/>
    <w:rsid w:val="3ABB6751"/>
    <w:rsid w:val="4E0A140E"/>
    <w:rsid w:val="59093B87"/>
    <w:rsid w:val="72545214"/>
    <w:rsid w:val="7BF70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cstheme="majorBidi"/>
      <w:color w:val="2F5597"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cstheme="majorBidi"/>
      <w:color w:val="2F5597" w:themeColor="accent1" w:themeShade="BF"/>
      <w:sz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cstheme="majorBidi"/>
      <w:b/>
      <w:bCs/>
      <w:color w:val="2F5597" w:themeColor="accent1" w:themeShade="BF"/>
      <w:sz w:val="22"/>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after="160"/>
      <w:jc w:val="left"/>
    </w:pPr>
    <w:rPr>
      <w:sz w:val="18"/>
      <w:szCs w:val="18"/>
      <w14:ligatures w14:val="standardContextual"/>
    </w:rPr>
  </w:style>
  <w:style w:type="paragraph" w:styleId="12">
    <w:name w:val="header"/>
    <w:basedOn w:val="1"/>
    <w:link w:val="36"/>
    <w:unhideWhenUsed/>
    <w:qFormat/>
    <w:uiPriority w:val="99"/>
    <w:pPr>
      <w:tabs>
        <w:tab w:val="center" w:pos="4153"/>
        <w:tab w:val="right" w:pos="8306"/>
      </w:tabs>
      <w:snapToGrid w:val="0"/>
      <w:spacing w:after="160"/>
      <w:jc w:val="center"/>
    </w:pPr>
    <w:rPr>
      <w:sz w:val="18"/>
      <w:szCs w:val="18"/>
      <w14:ligatures w14:val="standardContextual"/>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sz w:val="22"/>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sz w:val="22"/>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1429</Words>
  <Characters>1568</Characters>
  <Lines>8</Lines>
  <Paragraphs>2</Paragraphs>
  <TotalTime>3</TotalTime>
  <ScaleCrop>false</ScaleCrop>
  <LinksUpToDate>false</LinksUpToDate>
  <CharactersWithSpaces>1656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2026-06-15T02:22:00Z</dcterms:created>
  <dc:creator>8613647663179</dc:creator>
  <cp:lastModifiedBy>筱筱</cp:lastModifiedBy>
  <cp:lastPrinted>2026-08-28T01:52:00Z</cp:lastPrinted>
  <dcterms:modified xsi:type="dcterms:W3CDTF">2026-08-28T02:33:30Z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eyJoZGlkIjoiNTBlMmQ2ZmI4YmFlYzM0NjQ0OGQwMjg2YTc0NjE3MTkiLCJ1c2VySWQiOiIyODExMjA4MTcifQ==</vt:lpwstr>
  </property>
  <property fmtid="{D5CDD505-2E9C-101B-9397-08002B2CF9AE}" pid="3" name="KSOProductBuildVer">
    <vt:lpwstr>2052-12.1.0.28043</vt:lpwstr>
  </property>
  <property fmtid="{D5CDD505-2E9C-101B-9397-08002B2CF9AE}" pid="4" name="ICV">
    <vt:lpwstr>0ECC7F6D907949548DDD79CDD6303FC9_13</vt:lpwstr>
  </property>
</Properties>
</file>