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4F441">
      <w:pPr>
        <w:jc w:val="center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组织钳</w:t>
      </w:r>
      <w:r>
        <w:rPr>
          <w:rFonts w:hint="eastAsia"/>
          <w:sz w:val="28"/>
          <w:szCs w:val="36"/>
        </w:rPr>
        <w:t>手术器械</w:t>
      </w:r>
      <w:r>
        <w:rPr>
          <w:rFonts w:hint="eastAsia"/>
          <w:sz w:val="28"/>
          <w:szCs w:val="36"/>
          <w:lang w:val="en-US" w:eastAsia="zh-CN"/>
        </w:rPr>
        <w:t>需求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参数</w:t>
      </w:r>
    </w:p>
    <w:p w14:paraId="3AC067F3">
      <w:pPr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产品外观：产品头端部分应无定向反射现象；其他部位表面应洁净、光滑，无非设计预期的锋棱、裂纹、毛刺等，不许有锈蚀、烧伤缺陷。钳头的二片应相互吻合，不得有错位、摇晃现象，钳头带刃口或齿形的钳子，刃口或齿形完整，不得有缺齿、烂齿、毛齿等缺陷。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剪刀钳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不得有卷刃、崩刃现象，刀杆应平直。手柄带锁合机构的器械，锁合机构上的锁止牙应完整。</w:t>
      </w:r>
    </w:p>
    <w:p w14:paraId="08B445B3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钳头硬度：钳头硬度不小于300HV0.3；剪刀钳头部硬度为478HV0.3~620HV0.3，两片硬度值相差应不大于45HV0.3。</w:t>
      </w:r>
    </w:p>
    <w:p w14:paraId="2A12B625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表面粗糙度：产品不锈钢部分的表面粗糙度应不大1.6μm。</w:t>
      </w:r>
    </w:p>
    <w:p w14:paraId="77C6E3EF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4、钳头偏摆幅度：产品头部偏摆应顺利，向一侧的最大偏摆角度≥30°，钳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柄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可360度旋转自如，钳头可360度旋转自如。</w:t>
      </w:r>
    </w:p>
    <w:p w14:paraId="1EFDEA39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5、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具有自主知识产权发明专利。</w:t>
      </w:r>
    </w:p>
    <w:p w14:paraId="3BE5E7E5">
      <w:pPr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6、各链接部为铆钉链接。</w:t>
      </w:r>
    </w:p>
    <w:p w14:paraId="6930FBFF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7、锁合功能（除剪刀钳以外的的钳头）：有锁定功能，锁扣锁紧和松开应灵活可靠，在锁止状态下非有意行为时应不能弹开。</w:t>
      </w:r>
    </w:p>
    <w:p w14:paraId="69993A08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8、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操作性能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：无损</w:t>
      </w:r>
      <w:r>
        <w:rPr>
          <w:rFonts w:hint="default" w:ascii="宋体" w:hAnsi="宋体" w:eastAsia="宋体" w:cs="宋体"/>
          <w:sz w:val="24"/>
          <w:szCs w:val="32"/>
          <w:lang w:eastAsia="zh-CN"/>
        </w:rPr>
        <w:t>夹钳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夹持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力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≥5N；持针钳</w:t>
      </w:r>
      <w:r>
        <w:rPr>
          <w:rFonts w:hint="eastAsia" w:ascii="宋体" w:hAnsi="宋体" w:eastAsia="宋体" w:cs="宋体"/>
          <w:color w:val="auto"/>
          <w:sz w:val="24"/>
          <w:szCs w:val="32"/>
          <w:lang w:eastAsia="zh-CN"/>
        </w:rPr>
        <w:t>平移</w:t>
      </w:r>
      <w:r>
        <w:rPr>
          <w:rFonts w:hint="default" w:ascii="宋体" w:hAnsi="宋体" w:eastAsia="宋体" w:cs="宋体"/>
          <w:color w:val="auto"/>
          <w:sz w:val="24"/>
          <w:szCs w:val="32"/>
          <w:lang w:eastAsia="zh-CN"/>
        </w:rPr>
        <w:t>夹</w:t>
      </w:r>
      <w:r>
        <w:rPr>
          <w:rFonts w:hint="eastAsia" w:ascii="宋体" w:hAnsi="宋体" w:eastAsia="宋体" w:cs="宋体"/>
          <w:color w:val="auto"/>
          <w:sz w:val="24"/>
          <w:szCs w:val="32"/>
          <w:lang w:eastAsia="zh-CN"/>
        </w:rPr>
        <w:t>持力≥10N；</w:t>
      </w: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剪刀钳：</w:t>
      </w:r>
      <w:r>
        <w:rPr>
          <w:rFonts w:hint="eastAsia"/>
          <w:sz w:val="24"/>
          <w:szCs w:val="32"/>
          <w:lang w:eastAsia="zh-CN"/>
        </w:rPr>
        <w:t>用剪刀头端 2/3 刃长剪切2层21支纱布。</w:t>
      </w:r>
    </w:p>
    <w:p w14:paraId="20A416A4">
      <w:pPr>
        <w:rPr>
          <w:rFonts w:hint="default" w:ascii="宋体" w:hAnsi="宋体" w:eastAsia="宋体" w:cs="宋体"/>
          <w:sz w:val="24"/>
          <w:szCs w:val="32"/>
        </w:rPr>
      </w:pPr>
      <w:r>
        <w:rPr>
          <w:rFonts w:hint="default" w:ascii="宋体" w:hAnsi="宋体" w:eastAsia="宋体" w:cs="宋体"/>
          <w:sz w:val="24"/>
          <w:szCs w:val="32"/>
        </w:rPr>
        <w:t>配置清单：</w:t>
      </w:r>
    </w:p>
    <w:p w14:paraId="1680FE8F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剪刀钳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1支</w:t>
      </w:r>
    </w:p>
    <w:p w14:paraId="6A121DA7">
      <w:pPr>
        <w:rPr>
          <w:rFonts w:hint="default" w:ascii="宋体" w:hAnsi="宋体" w:eastAsia="宋体" w:cs="宋体"/>
          <w:sz w:val="24"/>
          <w:szCs w:val="32"/>
          <w:lang w:eastAsia="zh-CN"/>
        </w:rPr>
      </w:pPr>
      <w:r>
        <w:rPr>
          <w:rFonts w:hint="default" w:ascii="宋体" w:hAnsi="宋体" w:eastAsia="宋体" w:cs="宋体"/>
          <w:sz w:val="24"/>
          <w:szCs w:val="32"/>
          <w:lang w:eastAsia="zh-CN"/>
        </w:rPr>
        <w:t>持针钳1支</w:t>
      </w:r>
    </w:p>
    <w:p w14:paraId="3CE3A396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无损夹钳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1支</w:t>
      </w:r>
    </w:p>
    <w:p w14:paraId="5434A94E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p w14:paraId="164A8243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p w14:paraId="38998509">
      <w:pPr>
        <w:jc w:val="center"/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>投标人条件</w:t>
      </w:r>
    </w:p>
    <w:p w14:paraId="0C3D2C0D">
      <w:pP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>1.投标人必须具有销售、安装、维修保养能力。</w:t>
      </w:r>
    </w:p>
    <w:p w14:paraId="7937E02D">
      <w:pP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>2.投标人必须为合格设备制造商及其合法授权的代理商。</w:t>
      </w:r>
    </w:p>
    <w:p w14:paraId="66A129D0">
      <w:pP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>3.产品质量保证规范符合中华人民共和国国家相关标准。</w:t>
      </w:r>
    </w:p>
    <w:p w14:paraId="316630FD">
      <w:pP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>4.投标人应按照医院要求将设备接入医院信息系统，接入系统产生的所有费用由投标人承担。</w:t>
      </w:r>
    </w:p>
    <w:p w14:paraId="51CB2A28">
      <w:pP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>5.付款方式:安装验收调试合格，正常运行后，手续齐全的情况下60日付款。</w:t>
      </w:r>
    </w:p>
    <w:p w14:paraId="4D6D4978">
      <w:pP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>6.设备整机质保期为三年，质保范围包括主机、所有配件及消耗性材料，设备出现故障2小时内响应，24小时内到达医院现场维修该设备。如保修期内中标单位未按时履行维修义务，按总价的百分之五，向医院支付违约金，造成医院损失，中标单位另行赔偿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97188F"/>
    <w:rsid w:val="0AAC772E"/>
    <w:rsid w:val="0E7058C6"/>
    <w:rsid w:val="0F140120"/>
    <w:rsid w:val="2B2D3242"/>
    <w:rsid w:val="2EB41AB3"/>
    <w:rsid w:val="31466869"/>
    <w:rsid w:val="41254E32"/>
    <w:rsid w:val="45E71F71"/>
    <w:rsid w:val="468A3DC6"/>
    <w:rsid w:val="52644FEC"/>
    <w:rsid w:val="5E8796FA"/>
    <w:rsid w:val="6097188F"/>
    <w:rsid w:val="FBB79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711</Words>
  <Characters>763</Characters>
  <Lines>0</Lines>
  <Paragraphs>0</Paragraphs>
  <TotalTime>8</TotalTime>
  <ScaleCrop>false</ScaleCrop>
  <LinksUpToDate>false</LinksUpToDate>
  <CharactersWithSpaces>765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2026-08-28T15:01:00Z</dcterms:created>
  <dc:creator>青沙画斜</dc:creator>
  <cp:lastModifiedBy>筱筱</cp:lastModifiedBy>
  <cp:lastPrinted>2026-10-23T02:51:00Z</cp:lastPrinted>
  <dcterms:modified xsi:type="dcterms:W3CDTF">2026-10-28T09:02:09Z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94A7129151B140A287574A1C3C60D5BB_13</vt:lpwstr>
  </property>
  <property fmtid="{D5CDD505-2E9C-101B-9397-08002B2CF9AE}" pid="4" name="KSOTemplateDocerSaveRecord">
    <vt:lpwstr>eyJoZGlkIjoiNTBlMmQ2ZmI4YmFlYzM0NjQ0OGQwMjg2YTc0NjE3MTkiLCJ1c2VySWQiOiIyODExMjA4MTcifQ==</vt:lpwstr>
  </property>
</Properties>
</file>