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62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4"/>
          <w:szCs w:val="24"/>
          <w:vertAlign w:val="baseline"/>
          <w:lang w:val="en-US" w:eastAsia="zh-CN"/>
        </w:rPr>
      </w:pPr>
      <w:bookmarkStart w:id="1" w:name="_GoBack"/>
      <w:bookmarkEnd w:id="1"/>
    </w:p>
    <w:p w14:paraId="55F7EDB7">
      <w:pPr>
        <w:widowControl/>
        <w:numPr>
          <w:ilvl w:val="0"/>
          <w:numId w:val="0"/>
        </w:numPr>
        <w:spacing w:line="360" w:lineRule="auto"/>
        <w:jc w:val="center"/>
        <w:outlineLvl w:val="1"/>
        <w:rPr>
          <w:rStyle w:val="31"/>
          <w:rFonts w:hint="default" w:ascii="仿宋" w:hAnsi="仿宋" w:eastAsia="仿宋" w:cs="仿宋"/>
          <w:color w:val="auto"/>
          <w:highlight w:val="none"/>
          <w:lang w:val="en-US" w:eastAsia="zh-CN"/>
        </w:rPr>
      </w:pPr>
      <w:r>
        <w:rPr>
          <w:rStyle w:val="31"/>
          <w:rFonts w:hint="default" w:ascii="仿宋" w:hAnsi="仿宋" w:eastAsia="仿宋" w:cs="仿宋"/>
          <w:color w:val="auto"/>
          <w:highlight w:val="none"/>
          <w:lang w:val="en-US" w:eastAsia="zh-CN"/>
        </w:rPr>
        <w:t>大足区紧密型县域医共体建设项目设计</w:t>
      </w:r>
      <w:r>
        <w:rPr>
          <w:rStyle w:val="31"/>
          <w:rFonts w:hint="eastAsia" w:ascii="仿宋" w:hAnsi="仿宋" w:eastAsia="仿宋" w:cs="仿宋"/>
          <w:color w:val="auto"/>
          <w:highlight w:val="none"/>
          <w:lang w:val="en-US" w:eastAsia="zh-CN"/>
        </w:rPr>
        <w:t>采购要求</w:t>
      </w:r>
    </w:p>
    <w:p w14:paraId="76BB0BE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设计的技术参数：</w:t>
      </w:r>
    </w:p>
    <w:p w14:paraId="786C3A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1、</w:t>
      </w:r>
      <w:r>
        <w:rPr>
          <w:rFonts w:hint="default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大足区27个医院单位的改扩建设计（其中1个点位为扩建，设计内容包含土建工程，装饰工程，电气工程，暖通工程，给排水工程，海绵城市专项设计等），“强基工程”方案文本通过相关部门审批，提供方案文本4套，满足国家规范技术及深度要求施工蓝图4套，并提供对应的计算资料。</w:t>
      </w:r>
      <w:r>
        <w:rPr>
          <w:rFonts w:hint="default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2、</w:t>
      </w:r>
      <w:r>
        <w:rPr>
          <w:rFonts w:hint="default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价格参数：按概算批复确定的建安费用，根据《工程勘察设计收费标准》计算费用打2.5折计取设计费。</w:t>
      </w:r>
      <w:r>
        <w:rPr>
          <w:rFonts w:hint="default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eastAsia" w:ascii="方正仿宋_GBK" w:eastAsia="方正仿宋_GBK"/>
          <w:color w:val="auto"/>
          <w:sz w:val="21"/>
          <w:szCs w:val="21"/>
          <w:lang w:val="zh-CN"/>
        </w:rPr>
        <w:t>※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default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二、违约责任：合同签订后15天内完成并通过方案设计，方案通过后30天内完成初步设计，初步设计通过后30天内完成施工图设计，逾期赔付违约金1000元/天。</w:t>
      </w:r>
    </w:p>
    <w:p w14:paraId="66BF75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三、验收方式：方案及初设通过，取得投资概算批复后付款4万元（项目未申报成功不再支付余下设计费用，项目申报成功后按合同约定支付其余金额）；项目申报成功后，施工图审查合格付款至合同价90%，竣工验收通过后付清尾款。</w:t>
      </w:r>
    </w:p>
    <w:p w14:paraId="545806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39" w:leftChars="114" w:firstLine="240" w:firstLineChars="100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四、其他约定：</w:t>
      </w:r>
    </w:p>
    <w:p w14:paraId="3B11AA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39" w:leftChars="114" w:firstLine="210" w:firstLineChars="100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eastAsia="方正仿宋_GBK"/>
          <w:color w:val="auto"/>
          <w:sz w:val="21"/>
          <w:szCs w:val="21"/>
          <w:lang w:val="zh-CN"/>
        </w:rPr>
        <w:t>※</w:t>
      </w:r>
      <w:r>
        <w:rPr>
          <w:rFonts w:hint="default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1、达到初步设计深度，取得投资概算批复后付款进度4万元，未申报成功不再支付余下设计费用；项目申报成功按合同约定支付其余金额。</w:t>
      </w:r>
      <w:r>
        <w:rPr>
          <w:rFonts w:hint="default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方正仿宋_GBK" w:eastAsia="方正仿宋_GBK"/>
          <w:color w:val="auto"/>
          <w:sz w:val="21"/>
          <w:szCs w:val="21"/>
          <w:lang w:val="zh-CN"/>
        </w:rPr>
        <w:t>※</w:t>
      </w:r>
      <w:r>
        <w:rPr>
          <w:rFonts w:hint="default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2、由于设计人设计深度不够，造成增加成本的变更,每项应减收该项目应收设计费的百分之一。</w:t>
      </w:r>
    </w:p>
    <w:p w14:paraId="304FF3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五、招标采购内容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    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882"/>
        <w:gridCol w:w="1520"/>
        <w:gridCol w:w="1638"/>
        <w:gridCol w:w="1823"/>
      </w:tblGrid>
      <w:tr w14:paraId="7B2E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D28E06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6BE535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竞采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  <w:t>内容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9F339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  <w:t>最高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折扣</w:t>
            </w:r>
          </w:p>
          <w:p w14:paraId="450F60C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  <w:t>（折扣系数）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FB71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  <w:t>中标人数量</w:t>
            </w:r>
          </w:p>
          <w:p w14:paraId="7D741B96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  <w:t>（名）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361BF0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59BD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17D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10E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大足区紧密型县域医共体建设项目设计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DD21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100%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728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D10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本项目不接受联合体</w:t>
            </w:r>
          </w:p>
        </w:tc>
      </w:tr>
    </w:tbl>
    <w:p w14:paraId="4F2C1A71">
      <w:pPr>
        <w:pStyle w:val="3"/>
        <w:spacing w:before="0" w:beforeLines="0" w:beforeAutospacing="0" w:after="0" w:afterLines="0" w:afterAutospacing="0" w:line="360" w:lineRule="auto"/>
        <w:outlineLvl w:val="1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0" w:name="_Toc22568"/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六、报价要求</w:t>
      </w:r>
      <w:bookmarkEnd w:id="0"/>
    </w:p>
    <w:p w14:paraId="496229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1.本次报价须为折扣率报价。项目金额包含所有费用。因投标人自身原因造成漏报、少报皆由其自行承担责任，采购人不再补偿。（如果采购人提供材料成交供应商施工只收取人工费）。</w:t>
      </w:r>
    </w:p>
    <w:p w14:paraId="5BDE8432">
      <w:pPr>
        <w:pStyle w:val="3"/>
        <w:spacing w:before="0" w:beforeLines="0" w:beforeAutospacing="0" w:after="0" w:afterLines="0" w:afterAutospacing="0" w:line="360" w:lineRule="auto"/>
        <w:outlineLvl w:val="1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七、评分标准</w:t>
      </w:r>
    </w:p>
    <w:tbl>
      <w:tblPr>
        <w:tblStyle w:val="8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4"/>
        <w:gridCol w:w="604"/>
        <w:gridCol w:w="857"/>
        <w:gridCol w:w="8"/>
        <w:gridCol w:w="461"/>
        <w:gridCol w:w="11"/>
        <w:gridCol w:w="5232"/>
        <w:gridCol w:w="24"/>
        <w:gridCol w:w="1490"/>
        <w:gridCol w:w="14"/>
        <w:gridCol w:w="14"/>
      </w:tblGrid>
      <w:tr w14:paraId="3E21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pct"/>
          <w:jc w:val="center"/>
        </w:trPr>
        <w:tc>
          <w:tcPr>
            <w:tcW w:w="373" w:type="pct"/>
            <w:noWrap w:val="0"/>
            <w:vAlign w:val="center"/>
          </w:tcPr>
          <w:p w14:paraId="3FEDCB48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778" w:type="pct"/>
            <w:gridSpan w:val="3"/>
            <w:noWrap w:val="0"/>
            <w:vAlign w:val="center"/>
          </w:tcPr>
          <w:p w14:paraId="7D2D82F1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评分因素</w:t>
            </w:r>
          </w:p>
          <w:p w14:paraId="2B6A1AAF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及权重</w:t>
            </w:r>
          </w:p>
        </w:tc>
        <w:tc>
          <w:tcPr>
            <w:tcW w:w="249" w:type="pct"/>
            <w:gridSpan w:val="2"/>
            <w:noWrap w:val="0"/>
            <w:vAlign w:val="center"/>
          </w:tcPr>
          <w:p w14:paraId="3BFBE836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分值</w:t>
            </w:r>
          </w:p>
        </w:tc>
        <w:tc>
          <w:tcPr>
            <w:tcW w:w="2783" w:type="pct"/>
            <w:gridSpan w:val="2"/>
            <w:noWrap w:val="0"/>
            <w:vAlign w:val="center"/>
          </w:tcPr>
          <w:p w14:paraId="07949007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评分标准</w:t>
            </w:r>
          </w:p>
        </w:tc>
        <w:tc>
          <w:tcPr>
            <w:tcW w:w="804" w:type="pct"/>
            <w:gridSpan w:val="2"/>
            <w:noWrap w:val="0"/>
            <w:vAlign w:val="center"/>
          </w:tcPr>
          <w:p w14:paraId="2E560E4B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说明</w:t>
            </w:r>
          </w:p>
        </w:tc>
      </w:tr>
      <w:tr w14:paraId="6FFC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pct"/>
          <w:jc w:val="center"/>
        </w:trPr>
        <w:tc>
          <w:tcPr>
            <w:tcW w:w="373" w:type="pct"/>
            <w:noWrap w:val="0"/>
            <w:vAlign w:val="center"/>
          </w:tcPr>
          <w:p w14:paraId="70BE4441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778" w:type="pct"/>
            <w:gridSpan w:val="3"/>
            <w:noWrap w:val="0"/>
            <w:vAlign w:val="center"/>
          </w:tcPr>
          <w:p w14:paraId="6D90A1FB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投标报价</w:t>
            </w:r>
          </w:p>
          <w:p w14:paraId="30CF8561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%）</w:t>
            </w:r>
          </w:p>
        </w:tc>
        <w:tc>
          <w:tcPr>
            <w:tcW w:w="249" w:type="pct"/>
            <w:gridSpan w:val="2"/>
            <w:noWrap w:val="0"/>
            <w:vAlign w:val="center"/>
          </w:tcPr>
          <w:p w14:paraId="5AB0ABBD">
            <w:pPr>
              <w:spacing w:line="280" w:lineRule="exact"/>
              <w:ind w:left="0" w:leftChars="0" w:firstLine="0" w:firstLineChars="0"/>
              <w:jc w:val="center"/>
              <w:rPr>
                <w:rFonts w:hint="default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783" w:type="pct"/>
            <w:gridSpan w:val="2"/>
            <w:noWrap w:val="0"/>
            <w:vAlign w:val="center"/>
          </w:tcPr>
          <w:p w14:paraId="761C0E4F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有效的投标报价中的最低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折扣率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为评标基准价，按照下列公式计算每个投标人的投标价格得分。</w:t>
            </w:r>
          </w:p>
          <w:p w14:paraId="1913457B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投标报价得分＝（评标基准价/投标报价）×价格权重×100。</w:t>
            </w:r>
          </w:p>
        </w:tc>
        <w:tc>
          <w:tcPr>
            <w:tcW w:w="804" w:type="pct"/>
            <w:gridSpan w:val="2"/>
            <w:noWrap w:val="0"/>
            <w:vAlign w:val="center"/>
          </w:tcPr>
          <w:p w14:paraId="4B7953AA">
            <w:pPr>
              <w:ind w:left="-38"/>
              <w:jc w:val="center"/>
              <w:rPr>
                <w:rFonts w:hint="default" w:ascii="方正仿宋_GBK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sz w:val="21"/>
                <w:szCs w:val="21"/>
                <w:lang w:val="en-US" w:eastAsia="zh-CN"/>
              </w:rPr>
              <w:t>报价高于最高折扣系数的为无效报价。</w:t>
            </w:r>
          </w:p>
        </w:tc>
      </w:tr>
      <w:tr w14:paraId="4172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pct"/>
          <w:trHeight w:val="6390" w:hRule="atLeast"/>
          <w:jc w:val="center"/>
        </w:trPr>
        <w:tc>
          <w:tcPr>
            <w:tcW w:w="373" w:type="pct"/>
            <w:noWrap w:val="0"/>
            <w:vAlign w:val="center"/>
          </w:tcPr>
          <w:p w14:paraId="03638FEA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778" w:type="pct"/>
            <w:gridSpan w:val="3"/>
            <w:noWrap w:val="0"/>
            <w:vAlign w:val="center"/>
          </w:tcPr>
          <w:p w14:paraId="0239C40B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服务部分</w:t>
            </w:r>
          </w:p>
          <w:p w14:paraId="69E36B87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%）</w:t>
            </w:r>
          </w:p>
        </w:tc>
        <w:tc>
          <w:tcPr>
            <w:tcW w:w="249" w:type="pct"/>
            <w:gridSpan w:val="2"/>
            <w:noWrap w:val="0"/>
            <w:vAlign w:val="center"/>
          </w:tcPr>
          <w:p w14:paraId="4B9397E6">
            <w:pPr>
              <w:spacing w:line="280" w:lineRule="exact"/>
              <w:ind w:left="0" w:leftChars="0" w:firstLine="0" w:firstLineChars="0"/>
              <w:jc w:val="center"/>
              <w:rPr>
                <w:rFonts w:hint="default" w:ascii="方正仿宋_GBK" w:hAnsi="Times New Roman" w:eastAsia="方正仿宋_GBK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783" w:type="pct"/>
            <w:gridSpan w:val="2"/>
            <w:noWrap w:val="0"/>
            <w:vAlign w:val="center"/>
          </w:tcPr>
          <w:p w14:paraId="26A0D7D4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根据投标人针对本项目制定的服务方案进行评分。方案内容不存在瑕疵的，得20分；方案内容存在1处瑕疵的，得15分；方案内容存在2处瑕疵的，得10分；方案内容存在3处瑕疵的，得5分，3处以上瑕疵或未提供方案不得分。服务方案内容包括：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1.项目的设计思路方案，包含但不限于：设计理念贴合医共体建设要求、医疗工艺特点，总平面布局、功能分区合理，流线清晰，契合“五大共享中心”建设需求，医疗工艺设计思路科学，符合基层医疗服务需求，设计亮点突出，节能、环保、智能化设计合理等（20分）。</w:t>
            </w:r>
          </w:p>
          <w:p w14:paraId="0A0D8C97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2.项目的实施方案，包括但不限于：实施计划合理、进度安排科学，贴合设计工期要求，质量控制措施完善、可操作性强，专业协同、现场技术支持方案可行协调配合方案完善等（20分）。</w:t>
            </w:r>
          </w:p>
          <w:p w14:paraId="26597B8D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3.项目的售后服务方案，包含但不限于：质保期服务承诺到位、响应及时；售后人员配置合理、资质达标，技术支持方案完善等。（20分）。</w:t>
            </w:r>
          </w:p>
          <w:p w14:paraId="1BC29D18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注：本项内容中所称的“瑕疵”指以下内容：①方案内容缺项、内容表述不完整或缺少结合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医共体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实际情况的针对性分析；②方案内容表述前后矛盾、无连贯性；③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方案不科学，常识性错误；④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设计方案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并不适用本项目特性或非专门针对本项目制定；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⑤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方案中提出的措施举措不利于本项目目标的实现；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⑥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现有技术条件下不可能出现的情形等任意一种情形。</w:t>
            </w:r>
          </w:p>
        </w:tc>
        <w:tc>
          <w:tcPr>
            <w:tcW w:w="804" w:type="pct"/>
            <w:gridSpan w:val="2"/>
            <w:noWrap w:val="0"/>
            <w:vAlign w:val="center"/>
          </w:tcPr>
          <w:p w14:paraId="0077C8A7">
            <w:pPr>
              <w:spacing w:line="280" w:lineRule="exact"/>
              <w:ind w:left="0" w:leftChars="0" w:firstLine="0" w:firstLineChars="0"/>
              <w:rPr>
                <w:rFonts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eastAsia="zh-CN"/>
              </w:rPr>
              <w:t>提供方案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并加盖投标人公章</w:t>
            </w:r>
            <w:r>
              <w:rPr>
                <w:rFonts w:ascii="方正仿宋_GBK" w:eastAsia="方正仿宋_GBK"/>
                <w:color w:val="auto"/>
                <w:sz w:val="21"/>
                <w:szCs w:val="21"/>
              </w:rPr>
              <w:t>。</w:t>
            </w:r>
          </w:p>
        </w:tc>
      </w:tr>
      <w:tr w14:paraId="2CC3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879" w:hRule="atLeast"/>
          <w:jc w:val="center"/>
        </w:trPr>
        <w:tc>
          <w:tcPr>
            <w:tcW w:w="4993" w:type="pct"/>
            <w:gridSpan w:val="11"/>
            <w:noWrap w:val="0"/>
            <w:vAlign w:val="center"/>
          </w:tcPr>
          <w:p w14:paraId="29466052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eastAsia="zh-CN"/>
              </w:rPr>
              <w:t>竞采文件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“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eastAsia="zh-CN"/>
              </w:rPr>
              <w:t>四、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项目商务要求”中其他商务条款（非“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zh-CN"/>
              </w:rPr>
              <w:t>※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”号标注的部分）投标人有一条不满足的，商务部分得分为0分，不再进入商务部分的评审。</w:t>
            </w:r>
          </w:p>
        </w:tc>
      </w:tr>
      <w:tr w14:paraId="048C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374" w:type="pct"/>
            <w:gridSpan w:val="2"/>
            <w:noWrap w:val="0"/>
            <w:vAlign w:val="center"/>
          </w:tcPr>
          <w:p w14:paraId="62E45892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320" w:type="pct"/>
            <w:noWrap w:val="0"/>
            <w:vAlign w:val="center"/>
          </w:tcPr>
          <w:p w14:paraId="4C060B69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商务部分</w:t>
            </w:r>
          </w:p>
        </w:tc>
        <w:tc>
          <w:tcPr>
            <w:tcW w:w="459" w:type="pct"/>
            <w:gridSpan w:val="2"/>
            <w:noWrap w:val="0"/>
            <w:vAlign w:val="center"/>
          </w:tcPr>
          <w:p w14:paraId="470DE6F5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业绩</w:t>
            </w:r>
          </w:p>
          <w:p w14:paraId="61EDFB6A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%）</w:t>
            </w:r>
          </w:p>
        </w:tc>
        <w:tc>
          <w:tcPr>
            <w:tcW w:w="250" w:type="pct"/>
            <w:gridSpan w:val="2"/>
            <w:noWrap w:val="0"/>
            <w:vAlign w:val="center"/>
          </w:tcPr>
          <w:p w14:paraId="6D69E857">
            <w:pPr>
              <w:spacing w:line="280" w:lineRule="exact"/>
              <w:ind w:left="0" w:leftChars="0" w:firstLine="0" w:firstLineChars="0"/>
              <w:jc w:val="center"/>
              <w:rPr>
                <w:rFonts w:hint="default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2789" w:type="pct"/>
            <w:gridSpan w:val="2"/>
            <w:noWrap w:val="0"/>
            <w:vAlign w:val="center"/>
          </w:tcPr>
          <w:p w14:paraId="63B5ECEB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20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年至今，投标人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类似医疗建筑设计项目业绩，每提供一份业绩得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分，最多得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分。</w:t>
            </w:r>
          </w:p>
        </w:tc>
        <w:tc>
          <w:tcPr>
            <w:tcW w:w="805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097C3CD">
            <w:pPr>
              <w:spacing w:line="280" w:lineRule="exact"/>
              <w:ind w:left="0" w:leftChars="0" w:firstLine="210" w:firstLineChars="100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提供合同复印件加盖公章。</w:t>
            </w:r>
          </w:p>
        </w:tc>
      </w:tr>
    </w:tbl>
    <w:p w14:paraId="4F40C6FF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6FAFEA5-A5EB-4598-A1C0-71977F6905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6AC14B-DD98-4C66-9C08-DF9C440126CB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CD246"/>
    <w:multiLevelType w:val="singleLevel"/>
    <w:tmpl w:val="0C9CD2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NTNmNjk1YTkyNzIzNThjNjFmNDhiYWFhNWU0NTcifQ=="/>
  </w:docVars>
  <w:rsids>
    <w:rsidRoot w:val="2C1C0003"/>
    <w:rsid w:val="00A74545"/>
    <w:rsid w:val="00E066EA"/>
    <w:rsid w:val="087F2682"/>
    <w:rsid w:val="094C7063"/>
    <w:rsid w:val="0EAF0275"/>
    <w:rsid w:val="0EB02C59"/>
    <w:rsid w:val="0F732707"/>
    <w:rsid w:val="160E3932"/>
    <w:rsid w:val="1C0B70E7"/>
    <w:rsid w:val="2216698B"/>
    <w:rsid w:val="22731D79"/>
    <w:rsid w:val="27FC55DF"/>
    <w:rsid w:val="28262142"/>
    <w:rsid w:val="2C1C0003"/>
    <w:rsid w:val="2E7C1970"/>
    <w:rsid w:val="31933436"/>
    <w:rsid w:val="3C370897"/>
    <w:rsid w:val="3D333A8D"/>
    <w:rsid w:val="3E3B71D1"/>
    <w:rsid w:val="3FC03C8B"/>
    <w:rsid w:val="40886E75"/>
    <w:rsid w:val="43C415F1"/>
    <w:rsid w:val="44F20D8A"/>
    <w:rsid w:val="534E681F"/>
    <w:rsid w:val="5D200961"/>
    <w:rsid w:val="5E32404A"/>
    <w:rsid w:val="624E018D"/>
    <w:rsid w:val="63E861D3"/>
    <w:rsid w:val="63F60A9D"/>
    <w:rsid w:val="66693BD1"/>
    <w:rsid w:val="6AB02803"/>
    <w:rsid w:val="6E4B4A0F"/>
    <w:rsid w:val="72A74A00"/>
    <w:rsid w:val="7FA65394"/>
    <w:rsid w:val="7FF4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20" w:beforeLines="20" w:after="20" w:afterLines="20" w:line="380" w:lineRule="exact"/>
      <w:ind w:firstLine="140" w:firstLineChars="140"/>
      <w:outlineLvl w:val="1"/>
    </w:pPr>
    <w:rPr>
      <w:rFonts w:ascii="宋体" w:hAnsi="宋体" w:eastAsia="黑体" w:cs="Times New Roman"/>
      <w:b/>
      <w:kern w:val="2"/>
      <w:sz w:val="30"/>
      <w:szCs w:val="24"/>
      <w:lang w:val="en-US" w:eastAsia="zh-CN" w:bidi="ar-SA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spacing w:beforeLines="20" w:afterLines="20" w:line="380" w:lineRule="exact"/>
      <w:ind w:firstLine="67" w:firstLineChars="67"/>
      <w:outlineLvl w:val="2"/>
    </w:pPr>
    <w:rPr>
      <w:rFonts w:ascii="Verdana" w:hAnsi="Verdana" w:eastAsia="黑体"/>
      <w:b/>
      <w:bCs/>
      <w:sz w:val="27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99"/>
    <w:pPr>
      <w:spacing w:line="520" w:lineRule="exact"/>
      <w:ind w:firstLine="640" w:firstLineChars="200"/>
    </w:pPr>
  </w:style>
  <w:style w:type="paragraph" w:styleId="5">
    <w:name w:val="Normal Indent"/>
    <w:basedOn w:val="1"/>
    <w:qFormat/>
    <w:uiPriority w:val="99"/>
    <w:pPr>
      <w:ind w:firstLine="420" w:firstLineChars="200"/>
    </w:pPr>
    <w:rPr>
      <w:sz w:val="20"/>
    </w:rPr>
  </w:style>
  <w:style w:type="paragraph" w:styleId="6">
    <w:name w:val="Body Text"/>
    <w:basedOn w:val="1"/>
    <w:next w:val="1"/>
    <w:semiHidden/>
    <w:qFormat/>
    <w:uiPriority w:val="0"/>
    <w:pPr>
      <w:widowControl w:val="0"/>
      <w:spacing w:after="120"/>
    </w:pPr>
    <w:rPr>
      <w:rFonts w:ascii="宋体" w:hAnsi="宋体"/>
      <w:sz w:val="28"/>
      <w:szCs w:val="20"/>
      <w:lang w:eastAsia="en-US"/>
    </w:rPr>
  </w:style>
  <w:style w:type="paragraph" w:styleId="7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HTML Definition"/>
    <w:basedOn w:val="10"/>
    <w:qFormat/>
    <w:uiPriority w:val="0"/>
    <w:rPr>
      <w:i/>
      <w:iCs/>
    </w:rPr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0000FF"/>
      <w:u w:val="none"/>
    </w:rPr>
  </w:style>
  <w:style w:type="character" w:styleId="17">
    <w:name w:val="HTML Code"/>
    <w:basedOn w:val="10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8">
    <w:name w:val="HTML Cite"/>
    <w:basedOn w:val="10"/>
    <w:qFormat/>
    <w:uiPriority w:val="0"/>
  </w:style>
  <w:style w:type="character" w:styleId="19">
    <w:name w:val="HTML Keyboard"/>
    <w:basedOn w:val="10"/>
    <w:qFormat/>
    <w:uiPriority w:val="0"/>
    <w:rPr>
      <w:rFonts w:ascii="serif" w:hAnsi="serif" w:eastAsia="serif" w:cs="serif"/>
      <w:sz w:val="21"/>
      <w:szCs w:val="21"/>
    </w:rPr>
  </w:style>
  <w:style w:type="character" w:styleId="20">
    <w:name w:val="HTML Sample"/>
    <w:basedOn w:val="10"/>
    <w:qFormat/>
    <w:uiPriority w:val="0"/>
    <w:rPr>
      <w:rFonts w:hint="default" w:ascii="serif" w:hAnsi="serif" w:eastAsia="serif" w:cs="serif"/>
      <w:sz w:val="21"/>
      <w:szCs w:val="21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ahoma" w:hAnsi="Tahoma" w:cs="Tahoma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22">
    <w:name w:val="表身（左）"/>
    <w:qFormat/>
    <w:uiPriority w:val="0"/>
    <w:pPr>
      <w:adjustRightInd w:val="0"/>
      <w:snapToGrid w:val="0"/>
      <w:spacing w:line="300" w:lineRule="auto"/>
      <w:textAlignment w:val="center"/>
    </w:pPr>
    <w:rPr>
      <w:rFonts w:ascii="Times New Roman" w:hAnsi="Times New Roman" w:eastAsia="宋体" w:cs="Times New Roman"/>
      <w:kern w:val="0"/>
      <w:sz w:val="16"/>
      <w:szCs w:val="20"/>
      <w:lang w:val="en-US" w:eastAsia="zh-CN" w:bidi="ar-SA"/>
    </w:rPr>
  </w:style>
  <w:style w:type="character" w:customStyle="1" w:styleId="23">
    <w:name w:val="font9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4">
    <w:name w:val="category-text"/>
    <w:basedOn w:val="10"/>
    <w:qFormat/>
    <w:uiPriority w:val="0"/>
    <w:rPr>
      <w:b/>
      <w:bCs/>
      <w:shd w:val="clear" w:fill="FFFFFF"/>
    </w:rPr>
  </w:style>
  <w:style w:type="character" w:customStyle="1" w:styleId="25">
    <w:name w:val="leaf"/>
    <w:basedOn w:val="10"/>
    <w:qFormat/>
    <w:uiPriority w:val="0"/>
  </w:style>
  <w:style w:type="character" w:customStyle="1" w:styleId="26">
    <w:name w:val="root"/>
    <w:basedOn w:val="10"/>
    <w:qFormat/>
    <w:uiPriority w:val="0"/>
  </w:style>
  <w:style w:type="character" w:customStyle="1" w:styleId="27">
    <w:name w:val="form-item-field2"/>
    <w:basedOn w:val="10"/>
    <w:qFormat/>
    <w:uiPriority w:val="0"/>
    <w:rPr>
      <w:sz w:val="21"/>
      <w:szCs w:val="21"/>
    </w:rPr>
  </w:style>
  <w:style w:type="character" w:customStyle="1" w:styleId="28">
    <w:name w:val="flow-name-span"/>
    <w:basedOn w:val="10"/>
    <w:qFormat/>
    <w:uiPriority w:val="0"/>
  </w:style>
  <w:style w:type="character" w:customStyle="1" w:styleId="29">
    <w:name w:val="sort-name-span"/>
    <w:basedOn w:val="10"/>
    <w:qFormat/>
    <w:uiPriority w:val="0"/>
  </w:style>
  <w:style w:type="character" w:customStyle="1" w:styleId="30">
    <w:name w:val="form-textarea-print1"/>
    <w:basedOn w:val="10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31">
    <w:name w:val="标题 3 Char"/>
    <w:basedOn w:val="10"/>
    <w:link w:val="4"/>
    <w:autoRedefine/>
    <w:qFormat/>
    <w:uiPriority w:val="0"/>
    <w:rPr>
      <w:rFonts w:ascii="Verdana" w:hAnsi="Verdana" w:eastAsia="黑体"/>
      <w:b/>
      <w:bCs/>
      <w:sz w:val="27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1676</Words>
  <Characters>1718</Characters>
  <Lines>1</Lines>
  <Paragraphs>1</Paragraphs>
  <TotalTime>5</TotalTime>
  <ScaleCrop>false</ScaleCrop>
  <LinksUpToDate>false</LinksUpToDate>
  <CharactersWithSpaces>1801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2020-11-30T03:10:00Z</dcterms:created>
  <dc:creator>小朋友提不起劲</dc:creator>
  <cp:lastModifiedBy>筱筱</cp:lastModifiedBy>
  <cp:lastPrinted>2026-03-30T03:02:00Z</cp:lastPrinted>
  <dcterms:modified xsi:type="dcterms:W3CDTF">2026-04-07T09:28:55Z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0BD56FAC9ECF41B498E4532FDEE4BCB1_13</vt:lpwstr>
  </property>
  <property fmtid="{D5CDD505-2E9C-101B-9397-08002B2CF9AE}" pid="4" name="KSOTemplateDocerSaveRecord">
    <vt:lpwstr>eyJoZGlkIjoiNTBlMmQ2ZmI4YmFlYzM0NjQ0OGQwMjg2YTc0NjE3MTkiLCJ1c2VySWQiOiIyODExMjA4MTcifQ==</vt:lpwstr>
  </property>
</Properties>
</file>