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3F4706">
      <w:pPr>
        <w:jc w:val="center"/>
        <w:rPr>
          <w:rFonts w:hint="eastAsia" w:ascii="方正小标宋_GBK" w:hAnsi="Times New Roman" w:eastAsia="方正小标宋_GBK"/>
          <w:b w:val="0"/>
          <w:sz w:val="32"/>
          <w:szCs w:val="32"/>
          <w:lang w:val="en-US" w:eastAsia="zh-CN"/>
        </w:rPr>
      </w:pPr>
      <w:r>
        <w:rPr>
          <w:rFonts w:hint="eastAsia" w:ascii="方正小标宋_GBK" w:hAnsi="Times New Roman" w:eastAsia="方正小标宋_GBK"/>
          <w:b w:val="0"/>
          <w:sz w:val="32"/>
          <w:szCs w:val="32"/>
          <w:lang w:val="en-US" w:eastAsia="zh-CN"/>
        </w:rPr>
        <w:t>购置</w:t>
      </w:r>
      <w:r>
        <w:rPr>
          <w:rFonts w:hint="eastAsia" w:ascii="方正小标宋_GBK" w:hAnsi="Times New Roman" w:eastAsia="方正小标宋_GBK"/>
          <w:b w:val="0"/>
          <w:sz w:val="32"/>
          <w:szCs w:val="32"/>
          <w:lang w:eastAsia="zh-CN"/>
        </w:rPr>
        <w:t>营养制剂</w:t>
      </w:r>
      <w:r>
        <w:rPr>
          <w:rFonts w:hint="eastAsia" w:ascii="方正小标宋_GBK" w:hAnsi="Times New Roman" w:eastAsia="方正小标宋_GBK"/>
          <w:b w:val="0"/>
          <w:sz w:val="32"/>
          <w:szCs w:val="32"/>
          <w:lang w:val="en-US" w:eastAsia="zh-CN"/>
        </w:rPr>
        <w:t>及</w:t>
      </w:r>
      <w:r>
        <w:rPr>
          <w:rFonts w:hint="eastAsia" w:ascii="方正小标宋_GBK" w:hAnsi="Times New Roman" w:eastAsia="方正小标宋_GBK"/>
          <w:b w:val="0"/>
          <w:sz w:val="32"/>
          <w:szCs w:val="32"/>
          <w:lang w:eastAsia="zh-CN"/>
        </w:rPr>
        <w:t>配送服务</w:t>
      </w:r>
      <w:r>
        <w:rPr>
          <w:rFonts w:hint="eastAsia" w:ascii="方正小标宋_GBK" w:hAnsi="Times New Roman" w:eastAsia="方正小标宋_GBK"/>
          <w:b w:val="0"/>
          <w:sz w:val="32"/>
          <w:szCs w:val="32"/>
          <w:lang w:val="en-US" w:eastAsia="zh-CN"/>
        </w:rPr>
        <w:t>技术参数及服务要求</w:t>
      </w:r>
    </w:p>
    <w:p w14:paraId="1FB8FC14">
      <w:pPr>
        <w:pStyle w:val="2"/>
        <w:numPr>
          <w:ilvl w:val="0"/>
          <w:numId w:val="0"/>
        </w:numPr>
        <w:spacing w:line="400" w:lineRule="exact"/>
        <w:ind w:firstLine="480" w:firstLineChars="200"/>
        <w:rPr>
          <w:rFonts w:hint="eastAsia" w:ascii="方正仿宋_GBK" w:eastAsia="方正仿宋_GBK"/>
          <w:sz w:val="24"/>
          <w:szCs w:val="24"/>
          <w:lang w:val="en-US" w:eastAsia="zh-CN"/>
        </w:rPr>
      </w:pPr>
      <w:bookmarkStart w:id="0" w:name="_Toc12469"/>
      <w:r>
        <w:rPr>
          <w:rFonts w:hint="eastAsia" w:ascii="方正仿宋_GBK" w:hAnsi="宋体" w:eastAsia="方正仿宋_GBK"/>
          <w:kern w:val="2"/>
          <w:sz w:val="24"/>
          <w:szCs w:val="24"/>
          <w:lang w:val="en-US" w:eastAsia="zh-CN" w:bidi="ar-SA"/>
        </w:rPr>
        <w:t>一、</w:t>
      </w:r>
      <w:r>
        <w:rPr>
          <w:rFonts w:hint="eastAsia" w:ascii="方正仿宋_GBK" w:eastAsia="方正仿宋_GBK"/>
          <w:sz w:val="24"/>
          <w:szCs w:val="24"/>
          <w:lang w:val="en-US" w:eastAsia="zh-CN"/>
        </w:rPr>
        <w:t>招标项目一览表</w:t>
      </w:r>
      <w:bookmarkEnd w:id="0"/>
    </w:p>
    <w:tbl>
      <w:tblPr>
        <w:tblStyle w:val="5"/>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74"/>
        <w:gridCol w:w="5314"/>
        <w:gridCol w:w="776"/>
        <w:gridCol w:w="1655"/>
      </w:tblGrid>
      <w:tr w14:paraId="267C1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9DCA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50E4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项目名称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CC89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单位</w:t>
            </w:r>
          </w:p>
        </w:tc>
        <w:tc>
          <w:tcPr>
            <w:tcW w:w="1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0C8E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概算单价/元</w:t>
            </w:r>
          </w:p>
        </w:tc>
      </w:tr>
      <w:tr w14:paraId="60A7F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6705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35A91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均衡型全营养粉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ABEAF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22D6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0.38 </w:t>
            </w:r>
          </w:p>
        </w:tc>
      </w:tr>
      <w:tr w14:paraId="55D97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406C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CC64E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短肽全营养粉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35518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B3AC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0.78 </w:t>
            </w:r>
          </w:p>
        </w:tc>
      </w:tr>
      <w:tr w14:paraId="32529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EC9E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77873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浓缩乳清蛋白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30FCB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261D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1.18 </w:t>
            </w:r>
          </w:p>
        </w:tc>
      </w:tr>
      <w:tr w14:paraId="66131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F7FA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C5724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低GI型全营养粉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4EC61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4A2D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0.64 </w:t>
            </w:r>
          </w:p>
        </w:tc>
      </w:tr>
      <w:tr w14:paraId="02AEA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A04F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03092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低蛋白型全营养配方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0F19D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F16F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0.64 </w:t>
            </w:r>
          </w:p>
        </w:tc>
      </w:tr>
      <w:tr w14:paraId="2BDE7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8E30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9E1C3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碳水化合物能量饮料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F6E93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ml</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4827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0.31 </w:t>
            </w:r>
          </w:p>
        </w:tc>
      </w:tr>
      <w:tr w14:paraId="798CE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F497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DB067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匀浆膳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FC6A0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1C68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0.26 </w:t>
            </w:r>
          </w:p>
        </w:tc>
      </w:tr>
      <w:tr w14:paraId="409A2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3590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768DF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益生菌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7C0D1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5DD2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3.68 </w:t>
            </w:r>
          </w:p>
        </w:tc>
      </w:tr>
      <w:tr w14:paraId="09921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5D8A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70140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鱼油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5583A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ml</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1C86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6.74 </w:t>
            </w:r>
          </w:p>
        </w:tc>
      </w:tr>
      <w:tr w14:paraId="66F31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32BF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72602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低脂型全营养粉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E3D57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2C44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0.46 </w:t>
            </w:r>
          </w:p>
        </w:tc>
      </w:tr>
      <w:tr w14:paraId="4334E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86D7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0B541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谷氨酰胺营养补充剂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EC3C8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0C69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1.29 </w:t>
            </w:r>
          </w:p>
        </w:tc>
      </w:tr>
      <w:tr w14:paraId="4FEB2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9499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8621F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肿瘤高能全营养粉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BDF17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A1BB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0.55 </w:t>
            </w:r>
          </w:p>
        </w:tc>
      </w:tr>
      <w:tr w14:paraId="30493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40C0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16D58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维生素D补充液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DBAE4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ml</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9C24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11.25 </w:t>
            </w:r>
          </w:p>
        </w:tc>
      </w:tr>
      <w:tr w14:paraId="0E670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7E76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296F0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结石调理营养粉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966F9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9C56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1.74 </w:t>
            </w:r>
          </w:p>
        </w:tc>
      </w:tr>
      <w:tr w14:paraId="6D5D8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D113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282CE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骨全营养粉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60EFF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7D08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1.13 </w:t>
            </w:r>
          </w:p>
        </w:tc>
      </w:tr>
      <w:tr w14:paraId="7551F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69A7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C60C4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无乳糖高浓度蛋白粉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CA8BC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3831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2.05 </w:t>
            </w:r>
          </w:p>
        </w:tc>
      </w:tr>
      <w:tr w14:paraId="43A89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9C97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8E42C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胃动力复合营养粉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4DA5C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4F4D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4.86 </w:t>
            </w:r>
          </w:p>
        </w:tc>
      </w:tr>
      <w:tr w14:paraId="29C96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4953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F14D1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化结营养剂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BFEC6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ml</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CBAB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0.69 </w:t>
            </w:r>
          </w:p>
        </w:tc>
      </w:tr>
      <w:tr w14:paraId="154C3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C952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7F7E0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儿童特殊医学用途全营养配方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5D5D7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CF80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0.76 </w:t>
            </w:r>
          </w:p>
        </w:tc>
      </w:tr>
      <w:tr w14:paraId="51AD2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74F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7B20D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全营养素(无乳糖型)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6EF7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97C2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0.37 </w:t>
            </w:r>
          </w:p>
        </w:tc>
      </w:tr>
      <w:tr w14:paraId="482A0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6D4A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22AA6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高脂型全营养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743E3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3E86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0.86 </w:t>
            </w:r>
          </w:p>
        </w:tc>
      </w:tr>
      <w:tr w14:paraId="31116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8515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751CF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增肌型全营养粉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BD23B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4640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0.90 </w:t>
            </w:r>
          </w:p>
        </w:tc>
      </w:tr>
      <w:tr w14:paraId="4A262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9DE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A6CC4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复合蛋白肽组件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F8DE6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8EB5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4.03 </w:t>
            </w:r>
          </w:p>
        </w:tc>
      </w:tr>
      <w:tr w14:paraId="26BE4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A3FD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35FAE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铁元素组件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48A61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8F08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1.76 </w:t>
            </w:r>
          </w:p>
        </w:tc>
      </w:tr>
      <w:tr w14:paraId="10E4F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BC84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A0120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脂溶性维生素组件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713ED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16E0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2.14 </w:t>
            </w:r>
          </w:p>
        </w:tc>
      </w:tr>
      <w:tr w14:paraId="30B6A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1AA6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DE6F5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水溶性维生素组件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6A465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183D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0.77 </w:t>
            </w:r>
          </w:p>
        </w:tc>
      </w:tr>
      <w:tr w14:paraId="55A8D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59E7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A5C02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微量元素组件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2E50C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F96D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2.14 </w:t>
            </w:r>
          </w:p>
        </w:tc>
      </w:tr>
      <w:tr w14:paraId="5FB25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7C4D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B181F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赖氨酸组件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0E854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BBE5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2.66 </w:t>
            </w:r>
          </w:p>
        </w:tc>
      </w:tr>
      <w:tr w14:paraId="15658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679B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5F897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酶解米粉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40E66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B458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0.23 </w:t>
            </w:r>
          </w:p>
        </w:tc>
      </w:tr>
      <w:tr w14:paraId="242E2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1032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9691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分离乳清蛋白粉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C7CF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9D4B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1.36 </w:t>
            </w:r>
          </w:p>
        </w:tc>
      </w:tr>
      <w:tr w14:paraId="5AAFE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7D1C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00CEF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中链甘油三酯（MCT）粉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9E1E3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429D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1.17 </w:t>
            </w:r>
          </w:p>
        </w:tc>
      </w:tr>
      <w:tr w14:paraId="6D468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2F50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50879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鱼油粉特殊膳食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571F4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BE8F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4.05 </w:t>
            </w:r>
          </w:p>
        </w:tc>
      </w:tr>
      <w:tr w14:paraId="3BDA1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4E94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C9E84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特殊医学用途液体全营养配方食品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DA3CE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ml</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F1DF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0.54 </w:t>
            </w:r>
          </w:p>
        </w:tc>
      </w:tr>
      <w:tr w14:paraId="6A6F7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E65E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30E86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产后复原营养素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3FC1F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471E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1.89 </w:t>
            </w:r>
          </w:p>
        </w:tc>
      </w:tr>
      <w:tr w14:paraId="3F480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D3D3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9BEA7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高蛋白型复合营养素（肾病透析型）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EA88C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DE8F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1.19 </w:t>
            </w:r>
          </w:p>
        </w:tc>
      </w:tr>
      <w:tr w14:paraId="225DA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9ED1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9547D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铁滴剂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9DBC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ml</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518D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4.59 </w:t>
            </w:r>
          </w:p>
        </w:tc>
      </w:tr>
      <w:tr w14:paraId="18C2F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D91D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62DE1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钙滴剂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8AF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ml</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5971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4.59 </w:t>
            </w:r>
          </w:p>
        </w:tc>
      </w:tr>
      <w:tr w14:paraId="56050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6998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48C0B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维生素ADK复配滴液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5AA4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ml</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C31C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23.13 </w:t>
            </w:r>
          </w:p>
        </w:tc>
      </w:tr>
      <w:tr w14:paraId="0B353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A15F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120BD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DHA藻油(儿童)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703F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CA32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24.75 </w:t>
            </w:r>
          </w:p>
        </w:tc>
      </w:tr>
      <w:tr w14:paraId="16B3A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9C2F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B68B2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益生菌滴剂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6F87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ml</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861F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25.47 </w:t>
            </w:r>
          </w:p>
        </w:tc>
      </w:tr>
      <w:tr w14:paraId="1AE4E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BF7E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C1BA5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DHA藻油（成人）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B77F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4D6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19.26 </w:t>
            </w:r>
          </w:p>
        </w:tc>
      </w:tr>
      <w:tr w14:paraId="6331B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857D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C0225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孕妇及乳母营养补充食品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C42A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E757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10.31 </w:t>
            </w:r>
          </w:p>
        </w:tc>
      </w:tr>
      <w:tr w14:paraId="7F5EF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3F4F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D892D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双孢蘑菇榛子复合片（压片糖果）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2C5D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5721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8.50 </w:t>
            </w:r>
          </w:p>
        </w:tc>
      </w:tr>
      <w:tr w14:paraId="155AD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28FB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3B9D4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强化营养素代餐粉(海盐椰奶味)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D2F4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D3C3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0.68 </w:t>
            </w:r>
          </w:p>
        </w:tc>
      </w:tr>
      <w:tr w14:paraId="082FB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C8A0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5F510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乳清蛋白粉固体饮料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4CF7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C5F3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0.79 </w:t>
            </w:r>
          </w:p>
        </w:tc>
      </w:tr>
      <w:tr w14:paraId="154F1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7748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ABF88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特殊医学用途蛋白质组件配方食品（特医）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B40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A8E3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1.12 </w:t>
            </w:r>
          </w:p>
        </w:tc>
      </w:tr>
      <w:tr w14:paraId="445A7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845B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B588C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益生菌固体饮料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B16F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376B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4.59 </w:t>
            </w:r>
          </w:p>
        </w:tc>
      </w:tr>
      <w:tr w14:paraId="09F2F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A6B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08D26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复配乳化剂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D623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ml</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C032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20.25 </w:t>
            </w:r>
          </w:p>
        </w:tc>
      </w:tr>
      <w:tr w14:paraId="05BF3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EB2F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EE36E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维生素D3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7BEF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ml</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872A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45.90 </w:t>
            </w:r>
          </w:p>
        </w:tc>
      </w:tr>
      <w:tr w14:paraId="2596E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DA2D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87602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菠菜复合片压片糖果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6DBC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9700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19.62 </w:t>
            </w:r>
          </w:p>
        </w:tc>
      </w:tr>
      <w:tr w14:paraId="78312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0C1B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DAAC2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牡蛎复合片压片糖果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3CD6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196F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2.02 </w:t>
            </w:r>
          </w:p>
        </w:tc>
      </w:tr>
      <w:tr w14:paraId="3B29E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D237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86D9C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高蛋白型整蛋白全营养配方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A1A7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FCB4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0.34 </w:t>
            </w:r>
          </w:p>
        </w:tc>
      </w:tr>
      <w:tr w14:paraId="550E5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0615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9CD94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乳清蛋白粉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14FC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6409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0.71 </w:t>
            </w:r>
          </w:p>
        </w:tc>
      </w:tr>
      <w:tr w14:paraId="301D4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FF3A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1A4D8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高能高蛋白型全营养配方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24D3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A091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0.40 </w:t>
            </w:r>
          </w:p>
        </w:tc>
      </w:tr>
      <w:tr w14:paraId="323A1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C035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CE340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肝病型全营养配方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4100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CD4C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1.13 </w:t>
            </w:r>
          </w:p>
        </w:tc>
      </w:tr>
      <w:tr w14:paraId="173FC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8DBA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532CC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肾病型低蛋白全营养配方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1CE8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9D86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0.43 </w:t>
            </w:r>
          </w:p>
        </w:tc>
      </w:tr>
      <w:tr w14:paraId="71DD3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5D18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BF2A5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糖尿病型全营养配方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CFAA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A40B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0.41 </w:t>
            </w:r>
          </w:p>
        </w:tc>
      </w:tr>
      <w:tr w14:paraId="6FF27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CAE1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ADEC3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术后专用低脂型全营养配方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B133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073D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0.41 </w:t>
            </w:r>
          </w:p>
        </w:tc>
      </w:tr>
      <w:tr w14:paraId="0C9C6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E927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280BD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儿童型全营养配方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0FC9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B885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0.52 </w:t>
            </w:r>
          </w:p>
        </w:tc>
      </w:tr>
      <w:tr w14:paraId="219FB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57D2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F87E2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短肽型营养素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0730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09A5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0.76 </w:t>
            </w:r>
          </w:p>
        </w:tc>
      </w:tr>
      <w:tr w14:paraId="017B0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3965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0743C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复合纤维素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14C8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9681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1.06 </w:t>
            </w:r>
          </w:p>
        </w:tc>
      </w:tr>
      <w:tr w14:paraId="06BED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35F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3EC29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免疫增强型益生菌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6977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8A3E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4.00 </w:t>
            </w:r>
          </w:p>
        </w:tc>
      </w:tr>
      <w:tr w14:paraId="2C44D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BFEE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503E6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肠内营养液体分装袋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F8D9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个</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4442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2.68 </w:t>
            </w:r>
          </w:p>
        </w:tc>
      </w:tr>
      <w:tr w14:paraId="4499B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73D8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17680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肠内营养液体分装袋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53CE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个</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E649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3.21 </w:t>
            </w:r>
          </w:p>
        </w:tc>
      </w:tr>
      <w:tr w14:paraId="4C44E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6011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17A0E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特医 短肽型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B555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F883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1.46 </w:t>
            </w:r>
          </w:p>
        </w:tc>
      </w:tr>
      <w:tr w14:paraId="3E925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5F9F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F8821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特医 整蛋白型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5D82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A0AE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0.86 </w:t>
            </w:r>
          </w:p>
        </w:tc>
      </w:tr>
      <w:tr w14:paraId="1AB89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C5A9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67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5ECDB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短肽型乳剂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3C00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ml</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5835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0.74 </w:t>
            </w:r>
          </w:p>
        </w:tc>
      </w:tr>
      <w:tr w14:paraId="25D27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E51F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38DAC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整蛋白型乳剂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EEF7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ml</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C770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0.55 </w:t>
            </w:r>
          </w:p>
        </w:tc>
      </w:tr>
      <w:tr w14:paraId="7F3A1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E77E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B233F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减重产品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5DBF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3866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1.07 </w:t>
            </w:r>
          </w:p>
        </w:tc>
      </w:tr>
      <w:tr w14:paraId="0F4D3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D389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70</w:t>
            </w:r>
          </w:p>
        </w:tc>
        <w:tc>
          <w:tcPr>
            <w:tcW w:w="5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E304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磷元素组件</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0D75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g</w:t>
            </w:r>
          </w:p>
        </w:tc>
        <w:tc>
          <w:tcPr>
            <w:tcW w:w="1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B222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 xml:space="preserve">0.57 </w:t>
            </w:r>
          </w:p>
        </w:tc>
      </w:tr>
    </w:tbl>
    <w:p w14:paraId="266D498B">
      <w:pPr>
        <w:pStyle w:val="2"/>
        <w:numPr>
          <w:ilvl w:val="0"/>
          <w:numId w:val="2"/>
        </w:numPr>
        <w:spacing w:line="400" w:lineRule="exact"/>
        <w:ind w:firstLine="480" w:firstLineChars="200"/>
        <w:rPr>
          <w:rFonts w:hint="eastAsia" w:ascii="方正仿宋_GBK" w:eastAsia="方正仿宋_GBK"/>
          <w:sz w:val="24"/>
          <w:szCs w:val="24"/>
          <w:lang w:val="en-US" w:eastAsia="zh-CN"/>
        </w:rPr>
      </w:pPr>
      <w:bookmarkStart w:id="1" w:name="_Toc20075"/>
      <w:r>
        <w:rPr>
          <w:rFonts w:hint="eastAsia" w:ascii="方正仿宋_GBK" w:eastAsia="方正仿宋_GBK"/>
          <w:sz w:val="24"/>
          <w:szCs w:val="24"/>
          <w:lang w:val="en-US" w:eastAsia="zh-CN"/>
        </w:rPr>
        <w:t>服务范围、要求及标准</w:t>
      </w:r>
      <w:bookmarkEnd w:id="1"/>
    </w:p>
    <w:tbl>
      <w:tblPr>
        <w:tblStyle w:val="5"/>
        <w:tblW w:w="813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0"/>
        <w:gridCol w:w="1896"/>
        <w:gridCol w:w="5716"/>
      </w:tblGrid>
      <w:tr w14:paraId="44B59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87F4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color w:val="000000"/>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0E7C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color w:val="000000"/>
                <w:kern w:val="0"/>
                <w:sz w:val="24"/>
                <w:szCs w:val="24"/>
                <w:u w:val="none"/>
                <w:lang w:val="en-US" w:eastAsia="zh-CN" w:bidi="ar"/>
              </w:rPr>
              <w:t>项目名称</w:t>
            </w:r>
          </w:p>
        </w:tc>
        <w:tc>
          <w:tcPr>
            <w:tcW w:w="5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A6A1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color w:val="000000"/>
                <w:kern w:val="0"/>
                <w:sz w:val="24"/>
                <w:szCs w:val="24"/>
                <w:u w:val="none"/>
                <w:lang w:val="en-US" w:eastAsia="zh-CN" w:bidi="ar"/>
              </w:rPr>
              <w:t>产品参数</w:t>
            </w:r>
          </w:p>
        </w:tc>
      </w:tr>
      <w:tr w14:paraId="46629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782D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4D0FD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均衡型全营养粉</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94414">
            <w:pPr>
              <w:keepNext w:val="0"/>
              <w:keepLines w:val="0"/>
              <w:widowControl/>
              <w:suppressLineNumbers w:val="0"/>
              <w:snapToGrid w:val="0"/>
              <w:ind w:left="0" w:leftChars="0" w:right="0" w:rightChars="0" w:firstLine="0" w:firstLineChars="0"/>
              <w:jc w:val="left"/>
              <w:textAlignment w:val="top"/>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▲能量≥460kcal/100g；蛋白质≥22g/100g,脂肪≥17g/100g,碳水≥51g/100g；动植物蛋白配比,含膳食纤维；独立小袋≥50g包装,口感好,溶解度佳。</w:t>
            </w:r>
          </w:p>
        </w:tc>
      </w:tr>
      <w:tr w14:paraId="4092E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E7B5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26C42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短肽全营养粉</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333B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▲能量≥400kcal/100g；蛋白质≥22g/100g，脂肪≤4g/100,碳水≥68g/100g；低脂低渣,减少代谢负担；口感好,易溶解,独立小袋≥50g包装。</w:t>
            </w:r>
          </w:p>
        </w:tc>
      </w:tr>
      <w:tr w14:paraId="04D19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B232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FE041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浓缩乳清蛋白</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0F96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▲100%浓缩乳清蛋白；乳清蛋白含量≥81g/100g,配料含浓缩乳清蛋白粉、分离乳清蛋白粉；不额外添加糖、甜味剂、香精等,糖尿病患者适用；口感好,溶解度佳,不堵管。</w:t>
            </w:r>
          </w:p>
        </w:tc>
      </w:tr>
      <w:tr w14:paraId="3ACDB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BB1D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D18A4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低GI型全营养粉</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E949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GI值≤39,能量≥430kcal/100g，含充足水溶性膳食纤维，每100g含量≥12g；蛋白质≥22g/100g，脂肪≥15g/100g,碳水≥45g/100g；蛋白质组成以浓缩乳清蛋白、大豆分离蛋白等多重蛋白相结合。含16种以上不同微量元素和维生素、矿物质。</w:t>
            </w:r>
          </w:p>
        </w:tc>
      </w:tr>
      <w:tr w14:paraId="52640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A453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6C067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低蛋白型全营养配方</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85E2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▲蛋白质含量≤5g/100g,蛋白来源于优质乳清蛋白；钠≤50mg/100g,磷≤50mg/100,钾≤160mg/100g；含8种必需氨基酸；每100g供能≥440kcal,脂肪16%-20%,碳水化合物65%-80%。</w:t>
            </w:r>
          </w:p>
        </w:tc>
      </w:tr>
      <w:tr w14:paraId="5A1A7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6FE1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1168F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碳水化合物能量饮料</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4110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○碳水化合物:100%；碳水化合物浓度≥12.5%；碳水化合物组成为麦芽糊精、果糖，不含蛋白质、脂肪、乳糖、膳食纤维。</w:t>
            </w:r>
          </w:p>
        </w:tc>
      </w:tr>
      <w:tr w14:paraId="04885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3C32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84902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匀浆膳</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B3CD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▲能量≥430kcal/100g；碳水化合物供能比≥55%,脂肪≥24%,蛋白质≥18%；添加膳食纤维、谷氨酰胺,口感好,溶解度佳；独立小袋≥45g包装。</w:t>
            </w:r>
          </w:p>
        </w:tc>
      </w:tr>
      <w:tr w14:paraId="23C3D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EC94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37877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益生菌</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A168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○优质菌株，筛选高胃酸胆碱而授度,强肠道吸附力菌株，CFU≥1800亿(每20克)；至少含两种专利认证菌株,强化特定功能；五联活菌，五联共生,添加益生元；不添加香精、色素、防腐剂,独立小袋≥2g包装；</w:t>
            </w:r>
          </w:p>
        </w:tc>
      </w:tr>
      <w:tr w14:paraId="61F1B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A9B4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26AD5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鱼油</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B5D0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▲EPA≥500mg/g，DHA≥250mg/g；小瓶独立包装；</w:t>
            </w:r>
          </w:p>
        </w:tc>
      </w:tr>
      <w:tr w14:paraId="5F5DD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9708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0A229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低脂型全营养粉</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8EF1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○能量≥390Kcal/100g，脂肪≤2g/100g,蛋白质≥14g/100g；膳食纤维≤3g/100g，含谷氨酰胺，低渗透压，减少腹泻；</w:t>
            </w:r>
          </w:p>
        </w:tc>
      </w:tr>
      <w:tr w14:paraId="4C842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1C07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E3510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谷氨酰胺营养补充剂</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992A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○L-谷氨酰胺含量≥96%；独立小袋≥5g包装,方便使用；</w:t>
            </w:r>
          </w:p>
        </w:tc>
      </w:tr>
      <w:tr w14:paraId="49E5F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E21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ECEB6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肿瘤高能全营养粉</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9CC6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▲能量≥470Kcal/100g,蛋白质≥25g/100g,脂肪≥25g/100g；蛋白质来源于乳清蛋白；粉剂中有超过至少3种免疫营养素；独立小包装,方便使用；</w:t>
            </w:r>
          </w:p>
        </w:tc>
      </w:tr>
      <w:tr w14:paraId="6CA85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528B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319F4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维生素D补充液</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D520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▲含维生素D3,及两种或两种以上B族维生素；维生素D含量2滴≥400IU；不添加额外香精,防腐剂；独立小瓶≥15ml装；</w:t>
            </w:r>
          </w:p>
        </w:tc>
      </w:tr>
      <w:tr w14:paraId="4BDE2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B023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84225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结石调理营养粉</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1015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○适用于泌尿结石高发人群的营养制剂；能量≤360kcal/100g，蛋白质≤1g/100g；药食同源配方,改善结石体质,预防结石复发；独立小包装,不添加调味剂,香精,防腐剂；</w:t>
            </w:r>
          </w:p>
        </w:tc>
      </w:tr>
      <w:tr w14:paraId="1C531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884C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9D4B0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骨全营养粉</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FC25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○能量≥400kcal/100g，蛋白质≥45g/100g； 至少4种蛋白来源，含骨胶原蛋白肽、软骨肽等；为骨修复和骨生长提供营养补充；超15种维生素及矿物质搭配,降低炎症,润滑关节，增加骨密度,促进骨愈合；</w:t>
            </w:r>
          </w:p>
        </w:tc>
      </w:tr>
      <w:tr w14:paraId="300F0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F652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8ECB4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无乳糖高浓度蛋白粉</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20CB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▲无乳糖配方；能量≥360kcal/100g；脂肪≤0.2g/100g,蛋白质≥90g/100g，碳水化合物≤0.8g/100g；小袋包装，便于冲泡及携带；</w:t>
            </w:r>
          </w:p>
        </w:tc>
      </w:tr>
      <w:tr w14:paraId="379D8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DD3B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22A57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胃动力复合营养粉</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A51B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▲能量≥360kcal/100g，蛋白质≥28g/100g，脂肪≤4g/100g；药食同源,促进胃肠黏膜再生,促进胃动力,改善消化不良，提升免疫力；不添加香精,防腐剂,独立小袋包装,使用方便；</w:t>
            </w:r>
          </w:p>
        </w:tc>
      </w:tr>
      <w:tr w14:paraId="22E75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570A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5A25D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化结营养剂</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FD97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▲药食同源散结剂；适用于肺结节、甲状腺结节、乳腺结节、淋巴结肿大、子宫肌瘤等病状调理；</w:t>
            </w:r>
          </w:p>
        </w:tc>
      </w:tr>
      <w:tr w14:paraId="236ED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052E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8F710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儿童特殊医学用途全营养配方</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ED82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○能量≥450kcal/100g，蛋白质≥15g/100g，脂肪≥17g/100g,碳水化合物≥56g/100g；蛋白质来源为酪蛋白酸钙，分离乳清蛋白粉，大豆分离蛋白。特别添加了中链甘油三酯；含28种及以上维生素、矿物质及微量元素；</w:t>
            </w:r>
          </w:p>
        </w:tc>
      </w:tr>
      <w:tr w14:paraId="68ACB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E093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4BE4C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全营养素(无乳糖型)</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3E7A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○每100g能量≥420kcal,蛋白质≥16g，脂肪≥12g,碳水化合物≥50g,膳食纤维≤5g，含多种微量元素；</w:t>
            </w:r>
          </w:p>
        </w:tc>
      </w:tr>
      <w:tr w14:paraId="7ADA1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1D9E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07636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高脂型全营养</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26B3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○每100g能量≥470kcal，蛋白质≥22g，脂肪≥24g，碳水化合物≥36g；</w:t>
            </w:r>
          </w:p>
        </w:tc>
      </w:tr>
      <w:tr w14:paraId="19705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19FA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11C35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增肌型全营养粉</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7D5E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每100g供能≥420kcal，蛋白质≥36g,脂肪≥13g，碳水化合物≥33g，含钙≥800mg，VD≥10ug；添加乳清蛋白粉、叶酸、亮氨酸、HMB（β-羟基-β-甲基丁酸钙）保证必需氨基酸的快速高效利用，HMB≥3g/100g；增强肌肉蛋白合成,适用于肌肉衰减人群；</w:t>
            </w:r>
          </w:p>
        </w:tc>
      </w:tr>
      <w:tr w14:paraId="7D8A0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4B1D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823A8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复合蛋白肽组件</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3209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▲蛋白含量≥80g/100g；整蛋白和肽比例1:1；蛋白来源鱼胶原蛋白肽、小麦低聚肽、酪蛋白水解肽、浓缩乳清蛋白等；≥10g独立小包装，未添加香精、甜味剂，糖尿病患者适用；</w:t>
            </w:r>
          </w:p>
        </w:tc>
      </w:tr>
      <w:tr w14:paraId="1D34B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17E1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BEA7F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铁元素组件</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DB35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▲性质稳定，对胃肠道刺激反应小，溶解好易冲调；每3g中含铁≧12mg；小袋包装方便携带，儿童成人均适用；</w:t>
            </w:r>
          </w:p>
        </w:tc>
      </w:tr>
      <w:tr w14:paraId="7961D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DAC2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384AE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脂溶性维生素组件</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1824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○多种脂溶性维生素搭配，稳定性高易冲凋；每3g中含维生素A≧800ugRE，维生表D≥12.0ug</w:t>
            </w:r>
            <w:r>
              <w:rPr>
                <w:rFonts w:hint="default" w:ascii="Times New Roman" w:hAnsi="Times New Roman" w:eastAsia="方正仿宋_GB2312" w:cs="Times New Roman"/>
                <w:i w:val="0"/>
                <w:iCs w:val="0"/>
                <w:color w:val="000000"/>
                <w:kern w:val="0"/>
                <w:sz w:val="24"/>
                <w:szCs w:val="24"/>
                <w:u w:val="none"/>
                <w:lang w:val="en-US" w:eastAsia="zh-CN" w:bidi="ar"/>
              </w:rPr>
              <w:br w:type="textWrapping"/>
            </w:r>
            <w:r>
              <w:rPr>
                <w:rFonts w:hint="default" w:ascii="Times New Roman" w:hAnsi="Times New Roman" w:eastAsia="方正仿宋_GB2312" w:cs="Times New Roman"/>
                <w:i w:val="0"/>
                <w:iCs w:val="0"/>
                <w:color w:val="000000"/>
                <w:kern w:val="0"/>
                <w:sz w:val="24"/>
                <w:szCs w:val="24"/>
                <w:u w:val="none"/>
                <w:lang w:val="en-US" w:eastAsia="zh-CN" w:bidi="ar"/>
              </w:rPr>
              <w:t>维生素E≧14.00mgα-TE，维生素K1≧80.0ug；独立包装，方便携带，安全卫生；</w:t>
            </w:r>
          </w:p>
        </w:tc>
      </w:tr>
      <w:tr w14:paraId="3D483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78AC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77987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水溶性维生素组件</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5F57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▲多种水溶性维生素搭配，稳定性高易冲调；每10g中维生素B1≧1.40mg，维生素B2≧1.40mg</w:t>
            </w:r>
            <w:r>
              <w:rPr>
                <w:rFonts w:hint="default" w:ascii="Times New Roman" w:hAnsi="Times New Roman" w:eastAsia="方正仿宋_GB2312" w:cs="Times New Roman"/>
                <w:i w:val="0"/>
                <w:iCs w:val="0"/>
                <w:color w:val="000000"/>
                <w:kern w:val="0"/>
                <w:sz w:val="24"/>
                <w:szCs w:val="24"/>
                <w:u w:val="none"/>
                <w:lang w:val="en-US" w:eastAsia="zh-CN" w:bidi="ar"/>
              </w:rPr>
              <w:br w:type="textWrapping"/>
            </w:r>
            <w:r>
              <w:rPr>
                <w:rFonts w:hint="default" w:ascii="Times New Roman" w:hAnsi="Times New Roman" w:eastAsia="方正仿宋_GB2312" w:cs="Times New Roman"/>
                <w:i w:val="0"/>
                <w:iCs w:val="0"/>
                <w:color w:val="000000"/>
                <w:kern w:val="0"/>
                <w:sz w:val="24"/>
                <w:szCs w:val="24"/>
                <w:u w:val="none"/>
                <w:lang w:val="en-US" w:eastAsia="zh-CN" w:bidi="ar"/>
              </w:rPr>
              <w:t>维素B6≧1.40mg，维生素B12≧2.40ug，维生素C≧120.0mg,烟酸≧14.00mg，叶酸≧400ugDFE，泛酸≧5.00mg；独立小包装方便携带，安全卫生；</w:t>
            </w:r>
          </w:p>
        </w:tc>
      </w:tr>
      <w:tr w14:paraId="57C5E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D2C9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CA1EB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微量元素组件</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4DE8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○复合配方，具备六大微量之素；每3g中铁≧15.0mg，锌≧15.0mg，碘≧150.0ug，硒≧50.0ug，铜≧1.50mg，锰≧3.00mg；小袋包装，方便携带，安全卫生；</w:t>
            </w:r>
          </w:p>
        </w:tc>
      </w:tr>
      <w:tr w14:paraId="128CC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22BD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84B4A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赖氨酸组件</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4CFF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○配料中含有L-盐酸赖氨酸、柠檬酸、麦芽糊精；每3g中L-赖氨酸≧1.5g；小袋包装，方便食用；</w:t>
            </w:r>
          </w:p>
        </w:tc>
      </w:tr>
      <w:tr w14:paraId="1A6F5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D0B7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257D6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酶解米粉</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EDE9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○能量≥380kcal/100g，碳水化合物≥95g/100g；酶解工艺处理；</w:t>
            </w:r>
          </w:p>
        </w:tc>
      </w:tr>
      <w:tr w14:paraId="22077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2224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8117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分离乳清蛋白粉</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2E3A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▲每100g提供能量≥380kcal，蛋白质≥90g，脂肪≤2g；蛋白来源为乳清蛋白粉，独立≥10g小包装；不添加任何防腐剂、香精；配料表为分离乳清蛋白粉、水解乳清蛋白等</w:t>
            </w:r>
          </w:p>
        </w:tc>
      </w:tr>
      <w:tr w14:paraId="14C0D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49C0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9E30F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中链甘油三酯（MCT）粉</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5C1A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○中链甘油三酯排在配料表中第一位；每5g供能≥35kcal；</w:t>
            </w:r>
          </w:p>
        </w:tc>
      </w:tr>
      <w:tr w14:paraId="092C3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4182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C192B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鱼油粉特殊膳食</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314A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▲EPA≥255mg/g，DHA≥50mg/g；能量≥600kcal/100g，小袋包装方便冲调；</w:t>
            </w:r>
          </w:p>
        </w:tc>
      </w:tr>
      <w:tr w14:paraId="5FD6D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850A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51CFB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特殊医学用途液体全营养配方食品</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7325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全营养配方液态补充能量制剂，可口服可管饲；能量≥100kcal/100ml，蛋白质≥3.8g/100ml，脂肪≥2.5g/100ml,碳水化合物≥15g/100ml；含24种以上维生素、矿物质及微量元素，不添加膳食纤维，减少肠道残渣；动植物双蛋白来源，优化必需氨基酸；</w:t>
            </w:r>
          </w:p>
        </w:tc>
      </w:tr>
      <w:tr w14:paraId="40183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84A0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B579D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产后复原营养素</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75B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○药食同源产后修复类营养素；含乳清蛋白、当归、核桃、甘草、干姜、玫瑰花等有效成分；能量≥249kcal/100g，蛋白质≥16g/100g，小袋包装；</w:t>
            </w:r>
          </w:p>
        </w:tc>
      </w:tr>
      <w:tr w14:paraId="11229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F17E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DB036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高蛋白型复合营养素（肾病透析型）</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E7C6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▲能量≥420kcal/100g，蛋白质≥20g/100g，脂肪≥12g/100g，碳水化合物≥55g/100g，膳食纤维≥5g/100g；每100g含：磷≤30mg，钾≤150mg，钠≤150mg，含单不饱和脂肪酸和omega-3脂肪酸，含18种以上维生素、矿物质及微量元素；</w:t>
            </w:r>
          </w:p>
        </w:tc>
      </w:tr>
      <w:tr w14:paraId="4E7F9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3F54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CDBC8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铁滴剂</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5033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○能量≥700kj/100ml；蛋白质≥0g/100ml；脂肪≥0g/100ml；碳水化合物≥40g/100ml；钠≤90mg/100ml；铁≥450mg/100ml</w:t>
            </w:r>
          </w:p>
        </w:tc>
      </w:tr>
      <w:tr w14:paraId="3D5E2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8D75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8E4E8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钙滴剂</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01C5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○能量≥900kj/100ml；蛋白质≥0g/100ml；脂肪≥0g/100ml；碳水化合物≥50g/100ml；钠≤140mg/100ml；维生素D≥40μg/100ml；镁≥600mg/100ml；钙≥10000mg/100ml；酪蛋白磷酸肽≥15mg/100ml</w:t>
            </w:r>
          </w:p>
        </w:tc>
      </w:tr>
      <w:tr w14:paraId="7FA36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F5C4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C6EA9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维生素ADK复配滴液</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B7DD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○维生素D≥100IU/滴（≥0.04ml）；维生素A≥100IU/滴（0.04ml）；维生素K2≥10μg/滴（≥0.04ml）</w:t>
            </w:r>
          </w:p>
        </w:tc>
      </w:tr>
      <w:tr w14:paraId="01C53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7E25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50957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DHA藻油(儿童)</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9752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▲能量≥3000kj/100g；蛋白质≥0g/100g；脂肪≥90g/100g；碳水化合物≥0g/100g；钠0mg/100g；DHA≥100mg/粒（≥0.25g）</w:t>
            </w:r>
          </w:p>
        </w:tc>
      </w:tr>
      <w:tr w14:paraId="319DC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D388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6B5E6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益生菌滴剂</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AEF5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○能量≥3000kj/100ml；蛋白质≥1g/100ml；脂肪≥80g/100ml；碳水化合物≥2g/100ml；钠≤90mg/100ml；益生菌≥1700亿CFU/瓶（≥12ml）</w:t>
            </w:r>
          </w:p>
        </w:tc>
      </w:tr>
      <w:tr w14:paraId="771C9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F2BE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990EF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DHA藻油（成人）</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F0AC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▲能量≥3000kj/100g；蛋白质0g/100g；脂肪≥90g/100g；碳水化合物≥0g/100g；钠0mg/100g；DHA≥200mg/粒（≥0.44g）</w:t>
            </w:r>
          </w:p>
        </w:tc>
      </w:tr>
      <w:tr w14:paraId="1F590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160C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3C12C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孕妇及乳母营养补充食品</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D858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▲能量≥10kj/份（≥1.2g）；蛋白质≥0.2g/份（≥1.2g）</w:t>
            </w:r>
            <w:r>
              <w:rPr>
                <w:rFonts w:hint="default" w:ascii="Times New Roman" w:hAnsi="Times New Roman" w:eastAsia="方正仿宋_GB2312" w:cs="Times New Roman"/>
                <w:i w:val="0"/>
                <w:iCs w:val="0"/>
                <w:color w:val="000000"/>
                <w:kern w:val="0"/>
                <w:sz w:val="24"/>
                <w:szCs w:val="24"/>
                <w:u w:val="none"/>
                <w:lang w:val="en-US" w:eastAsia="zh-CN" w:bidi="ar"/>
              </w:rPr>
              <w:br w:type="textWrapping"/>
            </w:r>
            <w:r>
              <w:rPr>
                <w:rFonts w:hint="default" w:ascii="Times New Roman" w:hAnsi="Times New Roman" w:eastAsia="方正仿宋_GB2312" w:cs="Times New Roman"/>
                <w:i w:val="0"/>
                <w:iCs w:val="0"/>
                <w:color w:val="000000"/>
                <w:kern w:val="0"/>
                <w:sz w:val="24"/>
                <w:szCs w:val="24"/>
                <w:u w:val="none"/>
                <w:lang w:val="en-US" w:eastAsia="zh-CN" w:bidi="ar"/>
              </w:rPr>
              <w:t>脂肪0.0g/份（≥1.2g）；碳水化合物≥0.5g/份（≥1.2g）</w:t>
            </w:r>
            <w:r>
              <w:rPr>
                <w:rFonts w:hint="default" w:ascii="Times New Roman" w:hAnsi="Times New Roman" w:eastAsia="方正仿宋_GB2312" w:cs="Times New Roman"/>
                <w:i w:val="0"/>
                <w:iCs w:val="0"/>
                <w:color w:val="000000"/>
                <w:kern w:val="0"/>
                <w:sz w:val="24"/>
                <w:szCs w:val="24"/>
                <w:u w:val="none"/>
                <w:lang w:val="en-US" w:eastAsia="zh-CN" w:bidi="ar"/>
              </w:rPr>
              <w:br w:type="textWrapping"/>
            </w:r>
            <w:r>
              <w:rPr>
                <w:rFonts w:hint="default" w:ascii="Times New Roman" w:hAnsi="Times New Roman" w:eastAsia="方正仿宋_GB2312" w:cs="Times New Roman"/>
                <w:i w:val="0"/>
                <w:iCs w:val="0"/>
                <w:color w:val="000000"/>
                <w:kern w:val="0"/>
                <w:sz w:val="24"/>
                <w:szCs w:val="24"/>
                <w:u w:val="none"/>
                <w:lang w:val="en-US" w:eastAsia="zh-CN" w:bidi="ar"/>
              </w:rPr>
              <w:t>钠0mg/份（≥1.2g）；维生素A ≥500μgRE/份（≥1.2g）</w:t>
            </w:r>
            <w:r>
              <w:rPr>
                <w:rFonts w:hint="default" w:ascii="Times New Roman" w:hAnsi="Times New Roman" w:eastAsia="方正仿宋_GB2312" w:cs="Times New Roman"/>
                <w:i w:val="0"/>
                <w:iCs w:val="0"/>
                <w:color w:val="000000"/>
                <w:kern w:val="0"/>
                <w:sz w:val="24"/>
                <w:szCs w:val="24"/>
                <w:u w:val="none"/>
                <w:lang w:val="en-US" w:eastAsia="zh-CN" w:bidi="ar"/>
              </w:rPr>
              <w:br w:type="textWrapping"/>
            </w:r>
            <w:r>
              <w:rPr>
                <w:rFonts w:hint="default" w:ascii="Times New Roman" w:hAnsi="Times New Roman" w:eastAsia="方正仿宋_GB2312" w:cs="Times New Roman"/>
                <w:i w:val="0"/>
                <w:iCs w:val="0"/>
                <w:color w:val="000000"/>
                <w:kern w:val="0"/>
                <w:sz w:val="24"/>
                <w:szCs w:val="24"/>
                <w:u w:val="none"/>
                <w:lang w:val="en-US" w:eastAsia="zh-CN" w:bidi="ar"/>
              </w:rPr>
              <w:t>维生素D ≥6μg/份（≥1.2g）；维生素E ≥13mgα-TE/份（≥1.2g）；维生素B1≥ 2mg/份（≥1.2g）；维生素B2≥ 1.40mg/份（≥1.2g）；维生素B6≥ 1.40mg/份（≥1.2g）；维生素B12≥ 2μg/份（≥1.2g）；维生素C≥ 60mg/份（≥1.2g）；烟酰胺≥ 13mg/份（≥1.2g）；叶酸 400μg/份（≥1.2g）；泛酸 ≥4mg/份（≥1.2g）；生物素 ≥30μg/份（≥1.2g）；胆碱≥200mg/份（≥1.2g）；铁≥13mg/份（≥1.2g）；锌≥9mg/份（≥1.2g）；硒≥40μg/份（≥1.2g）</w:t>
            </w:r>
          </w:p>
        </w:tc>
      </w:tr>
      <w:tr w14:paraId="26BCC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68A4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4D7FB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双孢蘑菇榛子复合片（压片糖果）</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C9B1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○能量≥8千焦/份（≥0.6g）；蛋白质0克/份（≥0.6g） ；脂肪0克 /份（≥0.6g）；碳水化合物≥0.3克 /份（≥0.6g）；钠0毫克/份（≥0.6g）；维生素D ≥50.0微克/份（≥0.6g）</w:t>
            </w:r>
          </w:p>
        </w:tc>
      </w:tr>
      <w:tr w14:paraId="2420E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CB25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80815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强化营养素代餐粉(海盐椰奶味)</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D3F0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※能量≥1600KJ/100g；蛋白质≥40g/100g；脂肪≥8g/100g；碳水化合物≥34/100g；膳食纤维≥7/100g；钠≤600mg/100g；维生素A≥500μgRE/100g；维生素D ≥10μg/100g；维生素E ≥25mg α-TE/100g；维生素B1 ≥2mg/100g；维生素B2 ≥2mg/100g；维生素B6 ≥2mg/100g；维生素B12≥4μg/100g；维生素C≥100mg/100g；烟酸≥25mg/100g；叶酸≥200μg/100g；泛酸≥9mg/100g；生物素≥50μg/100g；镁≥100mg/100g；钙≥300mg/100g；铁≥9mg/100g；锌≥8mg/100g；硒≥30μg/100g；锰≥1mg/100g</w:t>
            </w:r>
          </w:p>
        </w:tc>
      </w:tr>
      <w:tr w14:paraId="322D7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EDE3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ADD76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乳清蛋白粉固体饮料</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D6FE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○能量≥1600kj/100g；蛋白质≥85g/100g；脂肪≥3g/100g；碳水化合物≥2g/100g；钠≤480mg/100g</w:t>
            </w:r>
          </w:p>
        </w:tc>
      </w:tr>
      <w:tr w14:paraId="7B102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F5AC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B1B1E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特殊医学用途蛋白质组件配方食品（特医）</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3F08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○能量≥1400kj/100g；蛋白质≥85g/100g；脂肪≥0.3g/100g；碳水化合物≥0.5g/100g；钠≤1100mg/100g</w:t>
            </w:r>
          </w:p>
        </w:tc>
      </w:tr>
      <w:tr w14:paraId="6DC40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F9DE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B3A92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益生菌固体饮料</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D350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○能量≥1600kj/100g；蛋白质0g/100g；脂肪0g/100g；碳水化合物≥90g/100g；钠≤8mg/100g</w:t>
            </w:r>
          </w:p>
        </w:tc>
      </w:tr>
      <w:tr w14:paraId="4D1D9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E141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E753C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复配乳化剂</w:t>
            </w:r>
          </w:p>
        </w:tc>
        <w:tc>
          <w:tcPr>
            <w:tcW w:w="5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341B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○乳糖酶≥20000ALU/ml</w:t>
            </w:r>
          </w:p>
        </w:tc>
      </w:tr>
      <w:tr w14:paraId="66CDF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B500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89E03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维生素D3</w:t>
            </w:r>
          </w:p>
        </w:tc>
        <w:tc>
          <w:tcPr>
            <w:tcW w:w="5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46CB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○维生素≥</w:t>
            </w:r>
            <w:bookmarkStart w:id="87" w:name="_GoBack"/>
            <w:bookmarkEnd w:id="87"/>
            <w:r>
              <w:rPr>
                <w:rFonts w:hint="default" w:ascii="Times New Roman" w:hAnsi="Times New Roman" w:eastAsia="方正仿宋_GB2312" w:cs="Times New Roman"/>
                <w:i w:val="0"/>
                <w:iCs w:val="0"/>
                <w:color w:val="000000"/>
                <w:kern w:val="0"/>
                <w:sz w:val="24"/>
                <w:szCs w:val="24"/>
                <w:u w:val="none"/>
                <w:lang w:val="en-US" w:eastAsia="zh-CN" w:bidi="ar"/>
              </w:rPr>
              <w:t>D10μg/0.05ml</w:t>
            </w:r>
          </w:p>
        </w:tc>
      </w:tr>
      <w:tr w14:paraId="6DAF0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5CCE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0FB3E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菠菜复合片压片糖果</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ABBD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○能量≥1200千焦/100克；蛋白质≥20克/100克；脂肪≥1克/100克；碳水化合物≥40克/100克；钠≤330毫克/100克；铁≥25mg/片</w:t>
            </w:r>
          </w:p>
        </w:tc>
      </w:tr>
      <w:tr w14:paraId="28C86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6F52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D3854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牡蛎复合片压片糖果</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6913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○能量≥500千焦/100克；蛋白质0克/100克；脂肪0克/100克；碳水化合物≥30克/100克；钠≤60毫克/100克；钙≥400mg/片</w:t>
            </w:r>
          </w:p>
        </w:tc>
      </w:tr>
      <w:tr w14:paraId="618B4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FD2A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70179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高蛋白型整蛋白全营养配方</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6A2A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▲每100g：能量1930-1940KJ、蛋白质20-22g、脂肪15-18g、碳水化合物52-55g、膳食纤维3-5g</w:t>
            </w:r>
            <w:r>
              <w:rPr>
                <w:rFonts w:hint="default" w:ascii="Times New Roman" w:hAnsi="Times New Roman" w:eastAsia="方正仿宋_GB2312" w:cs="Times New Roman"/>
                <w:i w:val="0"/>
                <w:iCs w:val="0"/>
                <w:color w:val="000000"/>
                <w:kern w:val="0"/>
                <w:sz w:val="24"/>
                <w:szCs w:val="24"/>
                <w:u w:val="none"/>
                <w:lang w:val="en-US" w:eastAsia="zh-CN" w:bidi="ar"/>
              </w:rPr>
              <w:br w:type="textWrapping"/>
            </w:r>
            <w:r>
              <w:rPr>
                <w:rFonts w:hint="default" w:ascii="Times New Roman" w:hAnsi="Times New Roman" w:eastAsia="方正仿宋_GB2312" w:cs="Times New Roman"/>
                <w:i w:val="0"/>
                <w:iCs w:val="0"/>
                <w:color w:val="000000"/>
                <w:kern w:val="0"/>
                <w:sz w:val="24"/>
                <w:szCs w:val="24"/>
                <w:u w:val="none"/>
                <w:lang w:val="en-US" w:eastAsia="zh-CN" w:bidi="ar"/>
              </w:rPr>
              <w:t>特殊膳食用营养基粉</w:t>
            </w:r>
          </w:p>
        </w:tc>
      </w:tr>
      <w:tr w14:paraId="02CD6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EDB8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E92DA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乳清蛋白粉</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AA5A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▲每100g：能量1650-1660KJ、蛋白质≥80g、脂肪3-4g、碳水化合物8-10g；特殊膳食用营养基粉</w:t>
            </w:r>
          </w:p>
        </w:tc>
      </w:tr>
      <w:tr w14:paraId="46B86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980E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AA7F7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高能高蛋白型全营养配方</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3074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▲每100g：能量1760-1765KJ、蛋白质22-25g、脂肪10-12g、碳水化合物55-58g、膳食纤维4-6g；特殊膳食用营养基粉</w:t>
            </w:r>
          </w:p>
        </w:tc>
      </w:tr>
      <w:tr w14:paraId="54109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5141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BF87A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肝病型全营养配方</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3F79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▲每100g：能量1750-1755KJ、蛋白质28-30g、脂肪8-10g、碳水化合物50-52g、膳食纤维3-5g；特殊膳食用营养基粉</w:t>
            </w:r>
          </w:p>
        </w:tc>
      </w:tr>
      <w:tr w14:paraId="42CA2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440C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2D988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肾病型低蛋白全营养配方</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AD43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▲每100g：能量1880-1890KJ、蛋白质8-10g、脂肪15-17g、碳水化合物65-67g、膳食纤维3-4g；特殊膳食用营养基粉</w:t>
            </w:r>
          </w:p>
        </w:tc>
      </w:tr>
      <w:tr w14:paraId="7321D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687A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611B6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糖尿病型全营养配方</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98B3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▲每100g：能量1855-1865KJ、蛋白质22-24g、脂肪16-18g、碳水化合物45-48g、膳食纤维8-10g；特殊膳食用营养基粉</w:t>
            </w:r>
          </w:p>
        </w:tc>
      </w:tr>
      <w:tr w14:paraId="3CBC0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834D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95A81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术后专用低脂型全营养配方</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506F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▲每100g：能量1600-1610KJ、蛋白质12-15g、脂肪≤2g、碳水化合物72-75g、膳食纤维3-4.5g；特殊膳食用营养基粉</w:t>
            </w:r>
          </w:p>
        </w:tc>
      </w:tr>
      <w:tr w14:paraId="15E38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CBDE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C8BCF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儿童型全营养配方</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D07F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▲每100g：能量1895-1900KJ、蛋白质15-17g、脂肪16-18g、碳水化合物55-58g、膳食纤维2.5-3g，蛋白质主要来源于浓缩乳清蛋白和大豆分离蛋白</w:t>
            </w:r>
            <w:r>
              <w:rPr>
                <w:rFonts w:hint="default" w:ascii="Times New Roman" w:hAnsi="Times New Roman" w:eastAsia="方正仿宋_GB2312" w:cs="Times New Roman"/>
                <w:i w:val="0"/>
                <w:iCs w:val="0"/>
                <w:color w:val="000000"/>
                <w:kern w:val="0"/>
                <w:sz w:val="24"/>
                <w:szCs w:val="24"/>
                <w:u w:val="none"/>
                <w:lang w:val="en-US" w:eastAsia="zh-CN" w:bidi="ar"/>
              </w:rPr>
              <w:br w:type="textWrapping"/>
            </w:r>
            <w:r>
              <w:rPr>
                <w:rFonts w:hint="default" w:ascii="Times New Roman" w:hAnsi="Times New Roman" w:eastAsia="方正仿宋_GB2312" w:cs="Times New Roman"/>
                <w:i w:val="0"/>
                <w:iCs w:val="0"/>
                <w:color w:val="000000"/>
                <w:kern w:val="0"/>
                <w:sz w:val="24"/>
                <w:szCs w:val="24"/>
                <w:u w:val="none"/>
                <w:lang w:val="en-US" w:eastAsia="zh-CN" w:bidi="ar"/>
              </w:rPr>
              <w:t>具有特殊医学用途配方食品注册证书（提供复印件加盖投标人公章）</w:t>
            </w:r>
          </w:p>
        </w:tc>
      </w:tr>
      <w:tr w14:paraId="40334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7EDA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3189E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短肽型营养素</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7950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▲每100g：能量1640-1650KJ、蛋白质22-25g、脂肪＜2.5g、碳水化合物70-72g；特殊膳食用营养基粉</w:t>
            </w:r>
          </w:p>
        </w:tc>
      </w:tr>
      <w:tr w14:paraId="263F4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58F7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DFF4A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复合纤维素</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43A6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○每100g：能量770-775KJ、不含蛋白质和脂肪、碳水化合物1-3g、膳食纤维≥90g，膳食纤维种类来源3种及以上</w:t>
            </w:r>
          </w:p>
        </w:tc>
      </w:tr>
      <w:tr w14:paraId="5935B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DA83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730D0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免疫增强型益生菌</w:t>
            </w:r>
          </w:p>
        </w:tc>
        <w:tc>
          <w:tcPr>
            <w:tcW w:w="5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6C44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○每100g：能量1615-1625KJ、蛋白质1.5-3g、不含脂肪、碳水化合物92-94g</w:t>
            </w:r>
          </w:p>
        </w:tc>
      </w:tr>
      <w:tr w14:paraId="75E5F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D7B2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0B92B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肠内营养液体分装袋</w:t>
            </w:r>
          </w:p>
        </w:tc>
        <w:tc>
          <w:tcPr>
            <w:tcW w:w="5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7A9F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▲容量≥350ml。产品符合GB/T 4456-2008《包装用聚乙烯吹塑薄膜》要求</w:t>
            </w:r>
          </w:p>
        </w:tc>
      </w:tr>
      <w:tr w14:paraId="004BD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40B8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E4E22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肠内营养液体分装袋</w:t>
            </w:r>
          </w:p>
        </w:tc>
        <w:tc>
          <w:tcPr>
            <w:tcW w:w="5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B4B4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▲容量≥500ml。产品符合GB/T 4456-2008《包装用聚乙烯吹塑薄膜》要求</w:t>
            </w:r>
          </w:p>
        </w:tc>
      </w:tr>
      <w:tr w14:paraId="206DE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38F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6DC8D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特医 短肽型</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722C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▲每100g：能量1730-1735KJ、蛋白质15-17g、脂肪5-7g、碳水化合物72-75g，蛋白质来源于水解乳清蛋白；具有特殊医学用途配方食品注册证书（提供复印件加盖投标人公章）</w:t>
            </w:r>
          </w:p>
        </w:tc>
      </w:tr>
      <w:tr w14:paraId="6BF6F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E55F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29ED9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特医 整蛋白型</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E02D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▲每100g：能量1775-1785KJ、蛋白质18-20g、脂肪15-17g、碳水化合物52-55g、膳食纤维4-6g</w:t>
            </w:r>
            <w:r>
              <w:rPr>
                <w:rFonts w:hint="default" w:ascii="Times New Roman" w:hAnsi="Times New Roman" w:eastAsia="方正仿宋_GB2312" w:cs="Times New Roman"/>
                <w:i w:val="0"/>
                <w:iCs w:val="0"/>
                <w:color w:val="000000"/>
                <w:kern w:val="0"/>
                <w:sz w:val="24"/>
                <w:szCs w:val="24"/>
                <w:u w:val="none"/>
                <w:lang w:val="en-US" w:eastAsia="zh-CN" w:bidi="ar"/>
              </w:rPr>
              <w:br w:type="textWrapping"/>
            </w:r>
            <w:r>
              <w:rPr>
                <w:rFonts w:hint="default" w:ascii="Times New Roman" w:hAnsi="Times New Roman" w:eastAsia="方正仿宋_GB2312" w:cs="Times New Roman"/>
                <w:i w:val="0"/>
                <w:iCs w:val="0"/>
                <w:color w:val="000000"/>
                <w:kern w:val="0"/>
                <w:sz w:val="24"/>
                <w:szCs w:val="24"/>
                <w:u w:val="none"/>
                <w:lang w:val="en-US" w:eastAsia="zh-CN" w:bidi="ar"/>
              </w:rPr>
              <w:t>具有特殊医学用途配方食品注册证书（提供复印件加盖投标人公章）</w:t>
            </w:r>
          </w:p>
        </w:tc>
      </w:tr>
      <w:tr w14:paraId="5FEA2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31FB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67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C5583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短肽型乳剂</w:t>
            </w:r>
          </w:p>
        </w:tc>
        <w:tc>
          <w:tcPr>
            <w:tcW w:w="5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2733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▲每100ml：能量415-420KJ、蛋白质4-6g、脂肪1.5-2g、碳水化合物16-18g</w:t>
            </w:r>
          </w:p>
        </w:tc>
      </w:tr>
      <w:tr w14:paraId="4F45F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AF5B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0C6B0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整蛋白型乳剂</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A640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▲每100ml：能量417-422KJ、蛋白质3.5-4.5g、脂肪3-5g、碳水化合物12.5-13g、膳食纤维1-2g</w:t>
            </w:r>
          </w:p>
        </w:tc>
      </w:tr>
      <w:tr w14:paraId="3223E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9BB2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7C216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减重产品</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52AD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○每100g：能量1660-1670KJ、蛋白质40-42g、脂肪6-8g、碳水化合物40-42g、膳食纤维8-10g</w:t>
            </w:r>
          </w:p>
        </w:tc>
      </w:tr>
      <w:tr w14:paraId="6B908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237D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70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5993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磷元素组件</w:t>
            </w:r>
          </w:p>
        </w:tc>
        <w:tc>
          <w:tcPr>
            <w:tcW w:w="5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6C79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color w:val="000000"/>
                <w:kern w:val="0"/>
                <w:sz w:val="24"/>
                <w:szCs w:val="24"/>
                <w:u w:val="none"/>
                <w:lang w:val="en-US" w:eastAsia="zh-CN" w:bidi="ar"/>
              </w:rPr>
              <w:t>※每100g：磷5000-5010mg、钾4100-4200mg</w:t>
            </w:r>
          </w:p>
        </w:tc>
      </w:tr>
    </w:tbl>
    <w:p w14:paraId="5098CBED">
      <w:pPr>
        <w:pStyle w:val="2"/>
        <w:numPr>
          <w:ilvl w:val="0"/>
          <w:numId w:val="0"/>
        </w:numPr>
        <w:spacing w:line="400" w:lineRule="exact"/>
        <w:ind w:left="0" w:leftChars="0" w:firstLine="480" w:firstLineChars="200"/>
        <w:rPr>
          <w:rFonts w:hint="eastAsia" w:ascii="方正仿宋_GBK" w:eastAsia="方正仿宋_GBK"/>
          <w:sz w:val="24"/>
          <w:szCs w:val="24"/>
        </w:rPr>
      </w:pPr>
      <w:bookmarkStart w:id="2" w:name="_Toc28562"/>
      <w:r>
        <w:rPr>
          <w:rFonts w:hint="default" w:ascii="Times New Roman" w:hAnsi="Times New Roman" w:eastAsia="方正仿宋_GB2312" w:cs="Times New Roman"/>
          <w:i w:val="0"/>
          <w:iCs w:val="0"/>
          <w:color w:val="000000"/>
          <w:kern w:val="0"/>
          <w:sz w:val="24"/>
          <w:szCs w:val="24"/>
          <w:u w:val="none"/>
          <w:lang w:val="en-US" w:eastAsia="zh-CN" w:bidi="ar"/>
        </w:rPr>
        <w:t>※</w:t>
      </w:r>
      <w:r>
        <w:rPr>
          <w:rFonts w:hint="eastAsia" w:ascii="方正仿宋_GBK" w:eastAsia="方正仿宋_GBK" w:cs="宋体"/>
          <w:kern w:val="0"/>
          <w:sz w:val="24"/>
          <w:szCs w:val="24"/>
          <w:lang w:val="en-US" w:eastAsia="zh-CN"/>
        </w:rPr>
        <w:t>三</w:t>
      </w:r>
      <w:r>
        <w:rPr>
          <w:rFonts w:hint="eastAsia" w:ascii="方正仿宋_GBK" w:hAnsi="宋体" w:eastAsia="方正仿宋_GBK" w:cs="宋体"/>
          <w:kern w:val="0"/>
          <w:sz w:val="24"/>
          <w:szCs w:val="24"/>
          <w:lang w:val="en-US" w:eastAsia="zh-CN"/>
        </w:rPr>
        <w:t>、</w:t>
      </w:r>
      <w:r>
        <w:rPr>
          <w:rFonts w:hint="eastAsia" w:ascii="方正仿宋_GBK" w:eastAsia="方正仿宋_GBK"/>
          <w:sz w:val="24"/>
          <w:szCs w:val="24"/>
        </w:rPr>
        <w:t>服务期、地点及验收方式</w:t>
      </w:r>
      <w:bookmarkEnd w:id="2"/>
    </w:p>
    <w:p w14:paraId="7145D2D6">
      <w:pPr>
        <w:snapToGrid w:val="0"/>
        <w:spacing w:line="400" w:lineRule="exact"/>
        <w:ind w:firstLine="480" w:firstLineChars="200"/>
        <w:rPr>
          <w:rFonts w:hint="eastAsia" w:ascii="方正仿宋_GBK" w:hAnsi="宋体" w:eastAsia="方正仿宋_GBK" w:cs="宋体"/>
          <w:kern w:val="0"/>
          <w:sz w:val="24"/>
          <w:szCs w:val="24"/>
        </w:rPr>
      </w:pPr>
      <w:r>
        <w:rPr>
          <w:rFonts w:hint="eastAsia" w:ascii="方正仿宋_GBK" w:hAnsi="宋体" w:eastAsia="方正仿宋_GBK" w:cs="宋体"/>
          <w:kern w:val="0"/>
          <w:sz w:val="24"/>
          <w:szCs w:val="24"/>
        </w:rPr>
        <w:t>（一）服务期</w:t>
      </w:r>
    </w:p>
    <w:p w14:paraId="375847D3">
      <w:pPr>
        <w:snapToGrid w:val="0"/>
        <w:spacing w:line="400" w:lineRule="exact"/>
        <w:ind w:firstLine="480" w:firstLineChars="200"/>
        <w:rPr>
          <w:rFonts w:hint="eastAsia" w:ascii="方正仿宋_GBK" w:hAnsi="宋体" w:eastAsia="方正仿宋_GBK" w:cs="宋体"/>
          <w:color w:val="auto"/>
          <w:kern w:val="0"/>
          <w:sz w:val="24"/>
          <w:szCs w:val="24"/>
        </w:rPr>
      </w:pPr>
      <w:r>
        <w:rPr>
          <w:rFonts w:hint="eastAsia" w:ascii="方正仿宋_GBK" w:hAnsi="宋体" w:eastAsia="方正仿宋_GBK" w:cs="宋体"/>
          <w:color w:val="auto"/>
          <w:kern w:val="0"/>
          <w:sz w:val="24"/>
          <w:szCs w:val="24"/>
        </w:rPr>
        <w:t>中标人应在采购合同签订</w:t>
      </w:r>
      <w:r>
        <w:rPr>
          <w:rFonts w:hint="eastAsia" w:ascii="方正仿宋_GBK" w:hAnsi="宋体" w:eastAsia="方正仿宋_GBK" w:cs="宋体"/>
          <w:color w:val="auto"/>
          <w:kern w:val="0"/>
          <w:sz w:val="24"/>
          <w:szCs w:val="24"/>
          <w:lang w:val="en-US" w:eastAsia="zh-CN"/>
        </w:rPr>
        <w:t>起1年</w:t>
      </w:r>
      <w:r>
        <w:rPr>
          <w:rFonts w:hint="eastAsia" w:ascii="方正仿宋_GBK" w:hAnsi="宋体" w:eastAsia="方正仿宋_GBK" w:cs="宋体"/>
          <w:color w:val="auto"/>
          <w:kern w:val="0"/>
          <w:sz w:val="24"/>
          <w:szCs w:val="24"/>
        </w:rPr>
        <w:t>。</w:t>
      </w:r>
    </w:p>
    <w:p w14:paraId="09204AB0">
      <w:pPr>
        <w:snapToGrid w:val="0"/>
        <w:spacing w:line="400" w:lineRule="exact"/>
        <w:ind w:firstLine="480" w:firstLineChars="200"/>
        <w:rPr>
          <w:rFonts w:hint="eastAsia" w:ascii="方正仿宋_GBK" w:hAnsi="宋体" w:eastAsia="方正仿宋_GBK" w:cs="宋体"/>
          <w:color w:val="auto"/>
          <w:kern w:val="0"/>
          <w:sz w:val="24"/>
          <w:szCs w:val="24"/>
        </w:rPr>
      </w:pPr>
      <w:r>
        <w:rPr>
          <w:rFonts w:hint="eastAsia" w:ascii="方正仿宋_GBK" w:hAnsi="宋体" w:eastAsia="方正仿宋_GBK" w:cs="宋体"/>
          <w:color w:val="auto"/>
          <w:kern w:val="0"/>
          <w:sz w:val="24"/>
          <w:szCs w:val="24"/>
        </w:rPr>
        <w:t>（二）服务期地点</w:t>
      </w:r>
    </w:p>
    <w:p w14:paraId="49E2D34E">
      <w:pPr>
        <w:snapToGrid w:val="0"/>
        <w:spacing w:line="400" w:lineRule="exact"/>
        <w:ind w:firstLine="480" w:firstLineChars="200"/>
        <w:rPr>
          <w:rFonts w:hint="eastAsia" w:ascii="方正仿宋_GBK" w:hAnsi="宋体" w:eastAsia="方正仿宋_GBK" w:cs="宋体"/>
          <w:color w:val="auto"/>
          <w:kern w:val="0"/>
          <w:sz w:val="24"/>
          <w:szCs w:val="24"/>
        </w:rPr>
      </w:pPr>
      <w:r>
        <w:rPr>
          <w:rFonts w:hint="eastAsia" w:ascii="方正仿宋_GBK" w:hAnsi="宋体" w:eastAsia="方正仿宋_GBK" w:cs="宋体"/>
          <w:color w:val="auto"/>
          <w:kern w:val="0"/>
          <w:sz w:val="24"/>
          <w:szCs w:val="24"/>
        </w:rPr>
        <w:t>重庆市大足区人民医院</w:t>
      </w:r>
      <w:r>
        <w:rPr>
          <w:rFonts w:hint="eastAsia" w:ascii="方正仿宋_GBK" w:hAnsi="宋体" w:eastAsia="方正仿宋_GBK" w:cs="宋体"/>
          <w:color w:val="auto"/>
          <w:kern w:val="0"/>
          <w:sz w:val="24"/>
          <w:szCs w:val="24"/>
          <w:lang w:val="en-US" w:eastAsia="zh-CN"/>
        </w:rPr>
        <w:t>指定地点</w:t>
      </w:r>
      <w:r>
        <w:rPr>
          <w:rFonts w:hint="eastAsia" w:ascii="方正仿宋_GBK" w:hAnsi="宋体" w:eastAsia="方正仿宋_GBK" w:cs="宋体"/>
          <w:color w:val="auto"/>
          <w:kern w:val="0"/>
          <w:sz w:val="24"/>
          <w:szCs w:val="24"/>
        </w:rPr>
        <w:t>。</w:t>
      </w:r>
    </w:p>
    <w:p w14:paraId="2F8B02E1">
      <w:pPr>
        <w:snapToGrid w:val="0"/>
        <w:spacing w:line="400" w:lineRule="exact"/>
        <w:ind w:firstLine="480" w:firstLineChars="200"/>
        <w:rPr>
          <w:rFonts w:hint="default" w:ascii="方正仿宋_GBK" w:hAnsi="宋体" w:eastAsia="方正仿宋_GBK" w:cs="宋体"/>
          <w:kern w:val="0"/>
          <w:sz w:val="24"/>
          <w:szCs w:val="24"/>
          <w:lang w:val="en-US" w:eastAsia="zh-CN"/>
        </w:rPr>
      </w:pPr>
      <w:r>
        <w:rPr>
          <w:rFonts w:hint="eastAsia" w:ascii="方正仿宋_GBK" w:hAnsi="宋体" w:eastAsia="方正仿宋_GBK" w:cs="宋体"/>
          <w:kern w:val="0"/>
          <w:sz w:val="24"/>
          <w:szCs w:val="24"/>
        </w:rPr>
        <w:t>（三）</w:t>
      </w:r>
      <w:r>
        <w:rPr>
          <w:rFonts w:hint="eastAsia" w:ascii="方正仿宋_GBK" w:hAnsi="宋体" w:eastAsia="方正仿宋_GBK" w:cs="宋体"/>
          <w:kern w:val="0"/>
          <w:sz w:val="24"/>
          <w:szCs w:val="24"/>
          <w:lang w:val="en-US" w:eastAsia="zh-CN"/>
        </w:rPr>
        <w:t>实施要求</w:t>
      </w:r>
    </w:p>
    <w:p w14:paraId="3A98BD25">
      <w:pPr>
        <w:snapToGrid w:val="0"/>
        <w:spacing w:line="400" w:lineRule="exact"/>
        <w:ind w:firstLine="480" w:firstLineChars="200"/>
        <w:rPr>
          <w:rFonts w:hint="eastAsia" w:ascii="方正仿宋_GBK" w:hAnsi="宋体" w:eastAsia="方正仿宋_GBK" w:cs="宋体"/>
          <w:color w:val="auto"/>
          <w:kern w:val="0"/>
          <w:sz w:val="24"/>
          <w:szCs w:val="24"/>
          <w:lang w:val="en-US" w:eastAsia="zh-CN"/>
        </w:rPr>
      </w:pPr>
      <w:r>
        <w:rPr>
          <w:rFonts w:hint="eastAsia" w:ascii="方正仿宋_GBK" w:hAnsi="宋体" w:eastAsia="方正仿宋_GBK" w:cs="宋体"/>
          <w:color w:val="auto"/>
          <w:kern w:val="0"/>
          <w:sz w:val="24"/>
          <w:szCs w:val="24"/>
          <w:lang w:val="en-US" w:eastAsia="zh-CN"/>
        </w:rPr>
        <w:t>1、按批次供货，即：采购人将供货清单提交给中标人，中标人收到供货清单后3个工作日内完成供货，紧急情况下24小时内必须完成紧急供货。</w:t>
      </w:r>
    </w:p>
    <w:p w14:paraId="08276496">
      <w:pPr>
        <w:snapToGrid w:val="0"/>
        <w:spacing w:line="400" w:lineRule="exact"/>
        <w:ind w:firstLine="480" w:firstLineChars="200"/>
        <w:rPr>
          <w:rFonts w:hint="eastAsia" w:ascii="方正仿宋_GBK" w:hAnsi="宋体" w:eastAsia="方正仿宋_GBK" w:cs="宋体"/>
          <w:color w:val="auto"/>
          <w:kern w:val="0"/>
          <w:sz w:val="24"/>
          <w:szCs w:val="24"/>
          <w:lang w:val="en-US" w:eastAsia="zh-CN"/>
        </w:rPr>
      </w:pPr>
      <w:r>
        <w:rPr>
          <w:rFonts w:hint="eastAsia" w:ascii="方正仿宋_GBK" w:hAnsi="宋体" w:eastAsia="方正仿宋_GBK" w:cs="宋体"/>
          <w:color w:val="auto"/>
          <w:kern w:val="0"/>
          <w:sz w:val="24"/>
          <w:szCs w:val="24"/>
          <w:lang w:val="en-US" w:eastAsia="zh-CN"/>
        </w:rPr>
        <w:t>2、中标人在签订合同前，提供加盖公章的《食品经营许可证》复印件或加盖公章的《食品经营备案登记表》复印件，若无法提供此件，采购人有权取消中标人的中标资格，其投标保证金不予退还。</w:t>
      </w:r>
    </w:p>
    <w:p w14:paraId="4CE3CC33">
      <w:pPr>
        <w:snapToGrid w:val="0"/>
        <w:spacing w:line="400" w:lineRule="exact"/>
        <w:ind w:firstLine="480" w:firstLineChars="200"/>
        <w:rPr>
          <w:rFonts w:hint="eastAsia" w:ascii="方正仿宋_GBK" w:hAnsi="宋体" w:eastAsia="方正仿宋_GBK" w:cs="宋体"/>
          <w:color w:val="auto"/>
          <w:kern w:val="0"/>
          <w:sz w:val="24"/>
          <w:szCs w:val="24"/>
          <w:lang w:val="en-US" w:eastAsia="zh-CN"/>
        </w:rPr>
      </w:pPr>
      <w:r>
        <w:rPr>
          <w:rFonts w:hint="eastAsia" w:ascii="方正仿宋_GBK" w:hAnsi="宋体" w:eastAsia="方正仿宋_GBK" w:cs="宋体"/>
          <w:color w:val="auto"/>
          <w:kern w:val="0"/>
          <w:sz w:val="24"/>
          <w:szCs w:val="24"/>
          <w:lang w:val="en-US" w:eastAsia="zh-CN"/>
        </w:rPr>
        <w:t>3、中标后若临床使用过程中，若每月医患对中标产品的质量、口感、肠内制剂耐受度等问题的进行有效投诉和差评等情况达5例及以上，中标人必须在3天内及时完成更换，并保证更换产品达到临床营养科的质量要求。</w:t>
      </w:r>
    </w:p>
    <w:p w14:paraId="4B77B9E7">
      <w:pPr>
        <w:snapToGrid w:val="0"/>
        <w:spacing w:line="400" w:lineRule="exact"/>
        <w:ind w:firstLine="480" w:firstLineChars="200"/>
        <w:rPr>
          <w:rFonts w:hint="eastAsia" w:ascii="方正仿宋_GBK" w:hAnsi="宋体" w:eastAsia="方正仿宋_GBK" w:cs="宋体"/>
          <w:color w:val="auto"/>
          <w:kern w:val="0"/>
          <w:sz w:val="24"/>
          <w:szCs w:val="24"/>
          <w:lang w:val="en-US" w:eastAsia="zh-CN"/>
        </w:rPr>
      </w:pPr>
      <w:r>
        <w:rPr>
          <w:rFonts w:hint="eastAsia" w:ascii="方正仿宋_GBK" w:hAnsi="宋体" w:eastAsia="方正仿宋_GBK" w:cs="宋体"/>
          <w:color w:val="auto"/>
          <w:kern w:val="0"/>
          <w:sz w:val="24"/>
          <w:szCs w:val="24"/>
          <w:lang w:val="en-US" w:eastAsia="zh-CN"/>
        </w:rPr>
        <w:t>4、中标后配送不管订单数量多少，都需要投标人亲自送货到库房，便于货物交接、验货等相关问题的当面处理。供应商不得以任何理由拒送、迟送等，发生2次以上甲方有权解除合同。</w:t>
      </w:r>
    </w:p>
    <w:p w14:paraId="0DC37228">
      <w:pPr>
        <w:snapToGrid w:val="0"/>
        <w:spacing w:line="400" w:lineRule="exact"/>
        <w:ind w:firstLine="480" w:firstLineChars="200"/>
        <w:rPr>
          <w:rFonts w:hint="eastAsia" w:ascii="方正仿宋_GBK" w:hAnsi="宋体" w:eastAsia="方正仿宋_GBK" w:cs="宋体"/>
          <w:kern w:val="0"/>
          <w:sz w:val="24"/>
          <w:szCs w:val="24"/>
          <w:lang w:val="en-US" w:eastAsia="zh-CN"/>
        </w:rPr>
      </w:pPr>
      <w:r>
        <w:rPr>
          <w:rFonts w:hint="eastAsia" w:ascii="方正仿宋_GBK" w:hAnsi="宋体" w:eastAsia="方正仿宋_GBK" w:cs="宋体"/>
          <w:color w:val="auto"/>
          <w:kern w:val="0"/>
          <w:sz w:val="24"/>
          <w:szCs w:val="24"/>
          <w:lang w:val="en-US" w:eastAsia="zh-CN"/>
        </w:rPr>
        <w:t>5、供应商必须承诺在货源紧张时采购人享受优先供货权。</w:t>
      </w:r>
    </w:p>
    <w:p w14:paraId="32C9C8D7">
      <w:pPr>
        <w:snapToGrid w:val="0"/>
        <w:spacing w:line="400" w:lineRule="exact"/>
        <w:ind w:firstLine="480" w:firstLineChars="200"/>
        <w:rPr>
          <w:rFonts w:hint="eastAsia" w:ascii="方正仿宋_GBK" w:hAnsi="宋体" w:eastAsia="方正仿宋_GBK" w:cs="宋体"/>
          <w:kern w:val="0"/>
          <w:sz w:val="24"/>
          <w:szCs w:val="24"/>
        </w:rPr>
      </w:pPr>
      <w:r>
        <w:rPr>
          <w:rFonts w:hint="eastAsia" w:ascii="方正仿宋_GBK" w:hAnsi="宋体" w:eastAsia="方正仿宋_GBK" w:cs="宋体"/>
          <w:kern w:val="0"/>
          <w:sz w:val="24"/>
          <w:szCs w:val="24"/>
          <w:lang w:val="en-US" w:eastAsia="zh-CN"/>
        </w:rPr>
        <w:t>（四）</w:t>
      </w:r>
      <w:r>
        <w:rPr>
          <w:rFonts w:hint="eastAsia" w:ascii="方正仿宋_GBK" w:hAnsi="宋体" w:eastAsia="方正仿宋_GBK" w:cs="宋体"/>
          <w:kern w:val="0"/>
          <w:sz w:val="24"/>
          <w:szCs w:val="24"/>
        </w:rPr>
        <w:t>验收方式</w:t>
      </w:r>
    </w:p>
    <w:p w14:paraId="2B3BA1A3">
      <w:pPr>
        <w:snapToGrid w:val="0"/>
        <w:spacing w:line="400" w:lineRule="exact"/>
        <w:ind w:firstLine="480" w:firstLineChars="200"/>
        <w:rPr>
          <w:rFonts w:hint="eastAsia" w:ascii="方正仿宋_GBK" w:hAnsi="宋体" w:eastAsia="方正仿宋_GBK" w:cs="宋体"/>
          <w:kern w:val="0"/>
          <w:sz w:val="24"/>
          <w:szCs w:val="24"/>
        </w:rPr>
      </w:pPr>
      <w:r>
        <w:rPr>
          <w:rFonts w:hint="eastAsia" w:ascii="方正仿宋_GBK" w:hAnsi="宋体" w:eastAsia="方正仿宋_GBK" w:cs="宋体"/>
          <w:kern w:val="0"/>
          <w:sz w:val="24"/>
          <w:szCs w:val="24"/>
        </w:rPr>
        <w:t>1.货物到达现场后，中标人应在使用单位人员和监督人员在场情况下双方应当面逐件核查商品有无破损、次品，核对商品包装上印制的产品名称、规格、有效期等相关资料，若产品外观、包装、质量、数量、有效期不能达到收货标准，采购人拒收配送物资，中标人应无条件迅速补充合格产品，中标人必须在3天内及时完成更换，并保证验收合格，不得影响临床工作。</w:t>
      </w:r>
    </w:p>
    <w:p w14:paraId="380EDBAA">
      <w:pPr>
        <w:snapToGrid w:val="0"/>
        <w:spacing w:line="400" w:lineRule="exact"/>
        <w:ind w:firstLine="480" w:firstLineChars="200"/>
        <w:rPr>
          <w:rFonts w:hint="eastAsia" w:ascii="方正仿宋_GBK" w:hAnsi="宋体" w:eastAsia="方正仿宋_GBK" w:cs="宋体"/>
          <w:kern w:val="0"/>
          <w:sz w:val="24"/>
          <w:szCs w:val="24"/>
        </w:rPr>
      </w:pPr>
      <w:r>
        <w:rPr>
          <w:rFonts w:hint="eastAsia" w:ascii="方正仿宋_GBK" w:hAnsi="宋体" w:eastAsia="方正仿宋_GBK" w:cs="宋体"/>
          <w:kern w:val="0"/>
          <w:sz w:val="24"/>
          <w:szCs w:val="24"/>
        </w:rPr>
        <w:t>2.货物到达现场后，投标人应经采购人或其指定验收单位清点品名、规格、数量；检查外观，作出验收记录，双方签字确认。</w:t>
      </w:r>
    </w:p>
    <w:p w14:paraId="188F5D1A">
      <w:pPr>
        <w:snapToGrid w:val="0"/>
        <w:spacing w:line="400" w:lineRule="exact"/>
        <w:ind w:firstLine="480" w:firstLineChars="200"/>
        <w:rPr>
          <w:rFonts w:hint="eastAsia" w:ascii="方正仿宋_GBK" w:hAnsi="宋体" w:eastAsia="方正仿宋_GBK" w:cs="宋体"/>
          <w:kern w:val="0"/>
          <w:sz w:val="24"/>
          <w:szCs w:val="24"/>
        </w:rPr>
      </w:pPr>
      <w:r>
        <w:rPr>
          <w:rFonts w:hint="eastAsia" w:ascii="方正仿宋_GBK" w:hAnsi="宋体" w:eastAsia="方正仿宋_GBK" w:cs="宋体"/>
          <w:kern w:val="0"/>
          <w:sz w:val="24"/>
          <w:szCs w:val="24"/>
        </w:rPr>
        <w:t>3.包装要求防腐、防撞击、防水、全新包装，以保证货物到达采购人所在地完好无损，如有缺漏、损坏，由投标人负责调换、补齐或赔偿。</w:t>
      </w:r>
    </w:p>
    <w:p w14:paraId="757B409A">
      <w:pPr>
        <w:snapToGrid w:val="0"/>
        <w:spacing w:line="400" w:lineRule="exact"/>
        <w:ind w:firstLine="480" w:firstLineChars="200"/>
        <w:rPr>
          <w:rFonts w:hint="eastAsia" w:ascii="方正仿宋_GBK" w:hAnsi="宋体" w:eastAsia="方正仿宋_GBK" w:cs="宋体"/>
          <w:kern w:val="0"/>
          <w:sz w:val="24"/>
          <w:szCs w:val="24"/>
        </w:rPr>
      </w:pPr>
      <w:r>
        <w:rPr>
          <w:rFonts w:hint="eastAsia" w:ascii="方正仿宋_GBK" w:hAnsi="宋体" w:eastAsia="方正仿宋_GBK" w:cs="宋体"/>
          <w:kern w:val="0"/>
          <w:sz w:val="24"/>
          <w:szCs w:val="24"/>
        </w:rPr>
        <w:t>4.投标人应提供完备的技术资料、装箱单和合格证等，并进行现场交货及验收。验收合格条件如下：</w:t>
      </w:r>
    </w:p>
    <w:p w14:paraId="08214518">
      <w:pPr>
        <w:snapToGrid w:val="0"/>
        <w:spacing w:line="400" w:lineRule="exact"/>
        <w:ind w:firstLine="480" w:firstLineChars="200"/>
        <w:rPr>
          <w:rFonts w:hint="eastAsia" w:ascii="方正仿宋_GBK" w:hAnsi="宋体" w:eastAsia="方正仿宋_GBK" w:cs="宋体"/>
          <w:kern w:val="0"/>
          <w:sz w:val="24"/>
          <w:szCs w:val="24"/>
        </w:rPr>
      </w:pPr>
      <w:r>
        <w:rPr>
          <w:rFonts w:hint="eastAsia" w:ascii="方正仿宋_GBK" w:hAnsi="宋体" w:eastAsia="方正仿宋_GBK" w:cs="宋体"/>
          <w:kern w:val="0"/>
          <w:sz w:val="24"/>
          <w:szCs w:val="24"/>
        </w:rPr>
        <w:t>4.1设备品种、规格、数量、技术参数以及商品品牌、生厂商等与采购合同一致，性能指标达到规定的标准。</w:t>
      </w:r>
    </w:p>
    <w:p w14:paraId="7FA88F06">
      <w:pPr>
        <w:snapToGrid w:val="0"/>
        <w:spacing w:line="400" w:lineRule="exact"/>
        <w:ind w:firstLine="480" w:firstLineChars="200"/>
        <w:rPr>
          <w:rFonts w:hint="eastAsia" w:ascii="方正仿宋_GBK" w:hAnsi="宋体" w:eastAsia="方正仿宋_GBK" w:cs="宋体"/>
          <w:kern w:val="0"/>
          <w:sz w:val="24"/>
          <w:szCs w:val="24"/>
        </w:rPr>
      </w:pPr>
      <w:r>
        <w:rPr>
          <w:rFonts w:hint="eastAsia" w:ascii="方正仿宋_GBK" w:hAnsi="宋体" w:eastAsia="方正仿宋_GBK" w:cs="宋体"/>
          <w:kern w:val="0"/>
          <w:sz w:val="24"/>
          <w:szCs w:val="24"/>
        </w:rPr>
        <w:t>4.2货物技术资料、送货清单、合格证等资料齐全。</w:t>
      </w:r>
    </w:p>
    <w:p w14:paraId="51AB83DB">
      <w:pPr>
        <w:snapToGrid w:val="0"/>
        <w:spacing w:line="400" w:lineRule="exact"/>
        <w:ind w:firstLine="480" w:firstLineChars="200"/>
        <w:rPr>
          <w:rFonts w:hint="eastAsia" w:ascii="方正仿宋_GBK" w:hAnsi="宋体" w:eastAsia="方正仿宋_GBK" w:cs="宋体"/>
          <w:kern w:val="0"/>
          <w:sz w:val="24"/>
          <w:szCs w:val="24"/>
        </w:rPr>
      </w:pPr>
      <w:r>
        <w:rPr>
          <w:rFonts w:hint="eastAsia" w:ascii="方正仿宋_GBK" w:hAnsi="宋体" w:eastAsia="方正仿宋_GBK" w:cs="宋体"/>
          <w:kern w:val="0"/>
          <w:sz w:val="24"/>
          <w:szCs w:val="24"/>
        </w:rPr>
        <w:t>4.3在规定时间内完成交货并验收，并经采购人确认。</w:t>
      </w:r>
    </w:p>
    <w:p w14:paraId="3DAA7153">
      <w:pPr>
        <w:snapToGrid w:val="0"/>
        <w:spacing w:line="400" w:lineRule="exact"/>
        <w:ind w:firstLine="480" w:firstLineChars="200"/>
        <w:rPr>
          <w:rFonts w:hint="eastAsia" w:ascii="方正仿宋_GBK" w:hAnsi="宋体" w:eastAsia="方正仿宋_GBK" w:cs="宋体"/>
          <w:kern w:val="0"/>
          <w:sz w:val="24"/>
          <w:szCs w:val="24"/>
        </w:rPr>
      </w:pPr>
      <w:r>
        <w:rPr>
          <w:rFonts w:hint="eastAsia" w:ascii="方正仿宋_GBK" w:hAnsi="宋体" w:eastAsia="方正仿宋_GBK" w:cs="宋体"/>
          <w:kern w:val="0"/>
          <w:sz w:val="24"/>
          <w:szCs w:val="24"/>
        </w:rPr>
        <w:t>5.投标人提供的货物未达到招标规定要求，且对采购人造成损失的，由投标人承担一切责任，并赔偿所造成的损失。</w:t>
      </w:r>
    </w:p>
    <w:p w14:paraId="272CAAE6">
      <w:pPr>
        <w:snapToGrid w:val="0"/>
        <w:spacing w:line="400" w:lineRule="exact"/>
        <w:ind w:firstLine="480" w:firstLineChars="200"/>
        <w:rPr>
          <w:rFonts w:hint="eastAsia" w:ascii="方正仿宋_GBK" w:hAnsi="宋体" w:eastAsia="方正仿宋_GBK" w:cs="宋体"/>
          <w:kern w:val="0"/>
          <w:sz w:val="24"/>
          <w:szCs w:val="24"/>
        </w:rPr>
      </w:pPr>
      <w:r>
        <w:rPr>
          <w:rFonts w:hint="eastAsia" w:ascii="方正仿宋_GBK" w:hAnsi="宋体" w:eastAsia="方正仿宋_GBK" w:cs="宋体"/>
          <w:kern w:val="0"/>
          <w:sz w:val="24"/>
          <w:szCs w:val="24"/>
        </w:rPr>
        <w:t>6.</w:t>
      </w:r>
      <w:r>
        <w:rPr>
          <w:rFonts w:hint="eastAsia" w:ascii="方正仿宋_GBK" w:hAnsi="宋体" w:eastAsia="方正仿宋_GBK" w:cs="宋体"/>
          <w:kern w:val="0"/>
          <w:sz w:val="24"/>
          <w:szCs w:val="24"/>
          <w:lang w:val="en-US" w:eastAsia="zh-CN"/>
        </w:rPr>
        <w:t>采购人有权要求</w:t>
      </w:r>
      <w:r>
        <w:rPr>
          <w:rFonts w:hint="eastAsia" w:ascii="方正仿宋_GBK" w:hAnsi="宋体" w:eastAsia="方正仿宋_GBK" w:cs="宋体"/>
          <w:kern w:val="0"/>
          <w:sz w:val="24"/>
          <w:szCs w:val="24"/>
        </w:rPr>
        <w:t>中标人</w:t>
      </w:r>
      <w:r>
        <w:rPr>
          <w:rFonts w:hint="eastAsia" w:ascii="方正仿宋_GBK" w:hAnsi="宋体" w:eastAsia="方正仿宋_GBK" w:cs="宋体"/>
          <w:kern w:val="0"/>
          <w:sz w:val="24"/>
          <w:szCs w:val="24"/>
          <w:lang w:val="en-US" w:eastAsia="zh-CN"/>
        </w:rPr>
        <w:t>对</w:t>
      </w:r>
      <w:r>
        <w:rPr>
          <w:rFonts w:hint="eastAsia" w:ascii="方正仿宋_GBK" w:hAnsi="宋体" w:eastAsia="方正仿宋_GBK" w:cs="宋体"/>
          <w:kern w:val="0"/>
          <w:sz w:val="24"/>
          <w:szCs w:val="24"/>
        </w:rPr>
        <w:t>交付的产品（包括质量、技术参数等）进行确认</w:t>
      </w:r>
      <w:r>
        <w:rPr>
          <w:rFonts w:hint="eastAsia" w:ascii="方正仿宋_GBK" w:hAnsi="宋体" w:eastAsia="方正仿宋_GBK" w:cs="宋体"/>
          <w:kern w:val="0"/>
          <w:sz w:val="24"/>
          <w:szCs w:val="24"/>
          <w:lang w:eastAsia="zh-CN"/>
        </w:rPr>
        <w:t>，</w:t>
      </w:r>
      <w:r>
        <w:rPr>
          <w:rFonts w:hint="eastAsia" w:ascii="方正仿宋_GBK" w:hAnsi="宋体" w:eastAsia="方正仿宋_GBK" w:cs="宋体"/>
          <w:kern w:val="0"/>
          <w:sz w:val="24"/>
          <w:szCs w:val="24"/>
        </w:rPr>
        <w:t>并出具书面意见。</w:t>
      </w:r>
    </w:p>
    <w:p w14:paraId="2E8FE49F">
      <w:pPr>
        <w:snapToGrid w:val="0"/>
        <w:spacing w:line="400" w:lineRule="exact"/>
        <w:ind w:firstLine="480" w:firstLineChars="200"/>
        <w:rPr>
          <w:rFonts w:hint="eastAsia" w:ascii="方正仿宋_GBK" w:hAnsi="宋体" w:eastAsia="方正仿宋_GBK" w:cs="宋体"/>
          <w:kern w:val="0"/>
          <w:sz w:val="24"/>
          <w:szCs w:val="24"/>
        </w:rPr>
      </w:pPr>
      <w:r>
        <w:rPr>
          <w:rFonts w:hint="eastAsia" w:ascii="方正仿宋_GBK" w:hAnsi="宋体" w:eastAsia="方正仿宋_GBK" w:cs="宋体"/>
          <w:kern w:val="0"/>
          <w:sz w:val="24"/>
          <w:szCs w:val="24"/>
        </w:rPr>
        <w:t>8.采购人组织定期或不定期货品抽检和送检。对检验不合格产品无条件退、换货外，需按双方约定予以处理。</w:t>
      </w:r>
    </w:p>
    <w:p w14:paraId="19AE748A">
      <w:pPr>
        <w:snapToGrid w:val="0"/>
        <w:spacing w:line="400" w:lineRule="exact"/>
        <w:ind w:firstLine="480" w:firstLineChars="200"/>
        <w:rPr>
          <w:rFonts w:hint="eastAsia" w:ascii="方正仿宋_GBK" w:hAnsi="宋体" w:eastAsia="方正仿宋_GBK" w:cs="宋体"/>
          <w:kern w:val="0"/>
          <w:sz w:val="24"/>
          <w:szCs w:val="24"/>
        </w:rPr>
      </w:pPr>
      <w:r>
        <w:rPr>
          <w:rFonts w:hint="eastAsia" w:ascii="方正仿宋_GBK" w:hAnsi="宋体" w:eastAsia="方正仿宋_GBK" w:cs="宋体"/>
          <w:kern w:val="0"/>
          <w:sz w:val="24"/>
          <w:szCs w:val="24"/>
        </w:rPr>
        <w:t>9.因验收货物时不能直接判断质量的，在使用过程中发现不合格商品，中标人应作退货处理。</w:t>
      </w:r>
    </w:p>
    <w:p w14:paraId="4BBC4C1D">
      <w:pPr>
        <w:snapToGrid w:val="0"/>
        <w:spacing w:line="400" w:lineRule="exact"/>
        <w:ind w:firstLine="480" w:firstLineChars="200"/>
        <w:rPr>
          <w:rFonts w:hint="eastAsia" w:ascii="方正仿宋_GBK" w:hAnsi="宋体" w:eastAsia="方正仿宋_GBK" w:cs="宋体"/>
          <w:kern w:val="0"/>
          <w:sz w:val="24"/>
          <w:szCs w:val="24"/>
        </w:rPr>
      </w:pPr>
      <w:r>
        <w:rPr>
          <w:rFonts w:hint="eastAsia" w:ascii="方正仿宋_GBK" w:hAnsi="宋体" w:eastAsia="方正仿宋_GBK" w:cs="宋体"/>
          <w:kern w:val="0"/>
          <w:sz w:val="24"/>
          <w:szCs w:val="24"/>
        </w:rPr>
        <w:t>10.中标人应保留和提供所有营养产品的溯源信息依据。如产地、生产商、生产批次、质保期限等信息资料。采购人有权对中标人供应的货物进行定期或不定期的抽样检验，采购人对有疑议的货物有权提取样品送权威部门检验，检验费用由中标人支付。</w:t>
      </w:r>
    </w:p>
    <w:p w14:paraId="7ED87207">
      <w:pPr>
        <w:snapToGrid w:val="0"/>
        <w:spacing w:line="400" w:lineRule="exact"/>
        <w:ind w:firstLine="480" w:firstLineChars="200"/>
        <w:rPr>
          <w:rFonts w:hint="eastAsia" w:ascii="方正仿宋_GBK" w:hAnsi="宋体" w:eastAsia="方正仿宋_GBK" w:cs="宋体"/>
          <w:kern w:val="0"/>
          <w:sz w:val="24"/>
          <w:szCs w:val="24"/>
        </w:rPr>
      </w:pPr>
      <w:r>
        <w:rPr>
          <w:rFonts w:hint="eastAsia" w:ascii="方正仿宋_GBK" w:hAnsi="宋体" w:eastAsia="方正仿宋_GBK" w:cs="宋体"/>
          <w:kern w:val="0"/>
          <w:sz w:val="24"/>
          <w:szCs w:val="24"/>
        </w:rPr>
        <w:t>11.配送货物的质量、数量以接收货物单位现场验收、清点的结果为准。</w:t>
      </w:r>
    </w:p>
    <w:p w14:paraId="13C08A82">
      <w:pPr>
        <w:snapToGrid w:val="0"/>
        <w:spacing w:line="400" w:lineRule="exact"/>
        <w:ind w:firstLine="480" w:firstLineChars="200"/>
        <w:rPr>
          <w:rFonts w:ascii="方正仿宋_GBK" w:hAnsi="宋体" w:eastAsia="方正仿宋_GBK" w:cs="宋体"/>
          <w:kern w:val="0"/>
          <w:sz w:val="24"/>
          <w:szCs w:val="24"/>
        </w:rPr>
      </w:pPr>
      <w:r>
        <w:rPr>
          <w:rFonts w:hint="eastAsia" w:ascii="方正仿宋_GBK" w:hAnsi="宋体" w:eastAsia="方正仿宋_GBK" w:cs="宋体"/>
          <w:kern w:val="0"/>
          <w:sz w:val="24"/>
          <w:szCs w:val="24"/>
        </w:rPr>
        <w:t>12.如发生配送营养制剂产品质量引发食品安全事故、或按《考核标准》未达到75分的，采购人有权单方面解除合同且不支付任何补偿（赔偿），一切责任由中标人承担</w:t>
      </w:r>
      <w:r>
        <w:rPr>
          <w:rFonts w:ascii="方正仿宋_GBK" w:hAnsi="宋体" w:eastAsia="方正仿宋_GBK" w:cs="宋体"/>
          <w:kern w:val="0"/>
          <w:sz w:val="24"/>
          <w:szCs w:val="24"/>
        </w:rPr>
        <w:t>。</w:t>
      </w:r>
    </w:p>
    <w:p w14:paraId="300892E8">
      <w:pPr>
        <w:snapToGrid w:val="0"/>
        <w:spacing w:line="400" w:lineRule="exact"/>
        <w:ind w:firstLine="480" w:firstLineChars="200"/>
        <w:rPr>
          <w:rFonts w:hint="eastAsia" w:ascii="方正仿宋_GBK" w:hAnsi="宋体" w:eastAsia="方正仿宋_GBK" w:cs="宋体"/>
          <w:kern w:val="0"/>
          <w:sz w:val="24"/>
          <w:szCs w:val="24"/>
        </w:rPr>
      </w:pPr>
      <w:r>
        <w:rPr>
          <w:rFonts w:hint="eastAsia" w:ascii="方正仿宋_GBK" w:hAnsi="宋体" w:eastAsia="方正仿宋_GBK" w:cs="宋体"/>
          <w:kern w:val="0"/>
          <w:sz w:val="24"/>
          <w:szCs w:val="24"/>
          <w:lang w:eastAsia="zh-CN"/>
        </w:rPr>
        <w:t>（</w:t>
      </w:r>
      <w:r>
        <w:rPr>
          <w:rFonts w:hint="eastAsia" w:ascii="方正仿宋_GBK" w:hAnsi="宋体" w:eastAsia="方正仿宋_GBK" w:cs="宋体"/>
          <w:kern w:val="0"/>
          <w:sz w:val="24"/>
          <w:szCs w:val="24"/>
          <w:lang w:val="en-US" w:eastAsia="zh-CN"/>
        </w:rPr>
        <w:t>五）</w:t>
      </w:r>
      <w:r>
        <w:rPr>
          <w:rFonts w:ascii="方正仿宋_GBK" w:hAnsi="宋体" w:eastAsia="方正仿宋_GBK" w:cs="宋体"/>
          <w:kern w:val="0"/>
          <w:sz w:val="24"/>
          <w:szCs w:val="24"/>
        </w:rPr>
        <w:t>考核办法</w:t>
      </w:r>
      <w:r>
        <w:rPr>
          <w:rFonts w:hint="eastAsia" w:ascii="方正仿宋_GBK" w:hAnsi="宋体" w:eastAsia="方正仿宋_GBK" w:cs="宋体"/>
          <w:kern w:val="0"/>
          <w:sz w:val="24"/>
          <w:szCs w:val="24"/>
        </w:rPr>
        <w:t>。</w:t>
      </w:r>
    </w:p>
    <w:p w14:paraId="427EE6D9">
      <w:pPr>
        <w:spacing w:line="360" w:lineRule="auto"/>
        <w:ind w:firstLine="482" w:firstLineChars="200"/>
        <w:jc w:val="center"/>
        <w:rPr>
          <w:rFonts w:hint="eastAsia" w:ascii="方正仿宋_GBK" w:hAnsi="方正仿宋_GBK" w:eastAsia="方正仿宋_GBK" w:cs="方正仿宋_GBK"/>
          <w:b/>
          <w:bCs/>
          <w:color w:val="auto"/>
          <w:sz w:val="24"/>
          <w:szCs w:val="24"/>
          <w:highlight w:val="none"/>
          <w:lang w:val="en-US" w:eastAsia="zh-CN"/>
        </w:rPr>
      </w:pPr>
      <w:r>
        <w:rPr>
          <w:rFonts w:hint="eastAsia" w:ascii="方正仿宋_GBK" w:hAnsi="方正仿宋_GBK" w:eastAsia="方正仿宋_GBK" w:cs="方正仿宋_GBK"/>
          <w:b/>
          <w:bCs/>
          <w:color w:val="auto"/>
          <w:sz w:val="24"/>
          <w:szCs w:val="24"/>
          <w:highlight w:val="none"/>
        </w:rPr>
        <w:t>考核标准（考核基准分为100分）</w:t>
      </w:r>
    </w:p>
    <w:tbl>
      <w:tblPr>
        <w:tblStyle w:val="5"/>
        <w:tblW w:w="96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1715"/>
        <w:gridCol w:w="7160"/>
      </w:tblGrid>
      <w:tr w14:paraId="2D197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3" w:type="pct"/>
            <w:tcBorders>
              <w:top w:val="single" w:color="auto" w:sz="4" w:space="0"/>
              <w:left w:val="single" w:color="auto" w:sz="4" w:space="0"/>
              <w:bottom w:val="single" w:color="auto" w:sz="4" w:space="0"/>
              <w:right w:val="single" w:color="auto" w:sz="4" w:space="0"/>
            </w:tcBorders>
            <w:noWrap w:val="0"/>
            <w:vAlign w:val="center"/>
          </w:tcPr>
          <w:p w14:paraId="12BAFF0F">
            <w:pPr>
              <w:keepNext w:val="0"/>
              <w:keepLines w:val="0"/>
              <w:pageBreakBefore w:val="0"/>
              <w:kinsoku/>
              <w:wordWrap/>
              <w:overflowPunct/>
              <w:topLinePunct w:val="0"/>
              <w:autoSpaceDE w:val="0"/>
              <w:autoSpaceDN/>
              <w:bidi w:val="0"/>
              <w:adjustRightInd/>
              <w:snapToGrid/>
              <w:spacing w:line="400" w:lineRule="exact"/>
              <w:jc w:val="center"/>
              <w:textAlignment w:val="auto"/>
              <w:rPr>
                <w:rFonts w:hint="eastAsia" w:ascii="方正仿宋_GBK" w:hAnsi="方正仿宋_GBK" w:eastAsia="方正仿宋_GBK" w:cs="方正仿宋_GBK"/>
                <w:b/>
                <w:bCs/>
                <w:color w:val="auto"/>
                <w:sz w:val="24"/>
                <w:szCs w:val="24"/>
                <w:highlight w:val="none"/>
              </w:rPr>
            </w:pPr>
            <w:r>
              <w:rPr>
                <w:rFonts w:hint="eastAsia" w:ascii="方正仿宋_GBK" w:hAnsi="方正仿宋_GBK" w:eastAsia="方正仿宋_GBK" w:cs="方正仿宋_GBK"/>
                <w:b/>
                <w:bCs/>
                <w:color w:val="auto"/>
                <w:sz w:val="24"/>
                <w:szCs w:val="24"/>
                <w:highlight w:val="none"/>
              </w:rPr>
              <w:t>项目</w:t>
            </w:r>
          </w:p>
        </w:tc>
        <w:tc>
          <w:tcPr>
            <w:tcW w:w="892" w:type="pct"/>
            <w:tcBorders>
              <w:top w:val="single" w:color="auto" w:sz="4" w:space="0"/>
              <w:left w:val="nil"/>
              <w:bottom w:val="single" w:color="auto" w:sz="4" w:space="0"/>
              <w:right w:val="single" w:color="auto" w:sz="4" w:space="0"/>
            </w:tcBorders>
            <w:noWrap w:val="0"/>
            <w:vAlign w:val="center"/>
          </w:tcPr>
          <w:p w14:paraId="2ED2E225">
            <w:pPr>
              <w:keepNext w:val="0"/>
              <w:keepLines w:val="0"/>
              <w:pageBreakBefore w:val="0"/>
              <w:kinsoku/>
              <w:wordWrap/>
              <w:overflowPunct/>
              <w:topLinePunct w:val="0"/>
              <w:autoSpaceDE w:val="0"/>
              <w:autoSpaceDN/>
              <w:bidi w:val="0"/>
              <w:adjustRightInd/>
              <w:snapToGrid/>
              <w:spacing w:line="400" w:lineRule="exact"/>
              <w:jc w:val="center"/>
              <w:textAlignment w:val="auto"/>
              <w:rPr>
                <w:rFonts w:hint="eastAsia" w:ascii="方正仿宋_GBK" w:hAnsi="方正仿宋_GBK" w:eastAsia="方正仿宋_GBK" w:cs="方正仿宋_GBK"/>
                <w:b/>
                <w:bCs/>
                <w:color w:val="auto"/>
                <w:sz w:val="24"/>
                <w:szCs w:val="24"/>
                <w:highlight w:val="none"/>
              </w:rPr>
            </w:pPr>
            <w:r>
              <w:rPr>
                <w:rFonts w:hint="eastAsia" w:ascii="方正仿宋_GBK" w:hAnsi="方正仿宋_GBK" w:eastAsia="方正仿宋_GBK" w:cs="方正仿宋_GBK"/>
                <w:b/>
                <w:bCs/>
                <w:color w:val="auto"/>
                <w:sz w:val="24"/>
                <w:szCs w:val="24"/>
                <w:highlight w:val="none"/>
              </w:rPr>
              <w:t>考核指标</w:t>
            </w:r>
          </w:p>
        </w:tc>
        <w:tc>
          <w:tcPr>
            <w:tcW w:w="3724" w:type="pct"/>
            <w:tcBorders>
              <w:top w:val="single" w:color="auto" w:sz="4" w:space="0"/>
              <w:left w:val="nil"/>
              <w:bottom w:val="single" w:color="auto" w:sz="4" w:space="0"/>
              <w:right w:val="single" w:color="auto" w:sz="4" w:space="0"/>
            </w:tcBorders>
            <w:noWrap w:val="0"/>
            <w:vAlign w:val="center"/>
          </w:tcPr>
          <w:p w14:paraId="5C779A16">
            <w:pPr>
              <w:keepNext w:val="0"/>
              <w:keepLines w:val="0"/>
              <w:pageBreakBefore w:val="0"/>
              <w:kinsoku/>
              <w:wordWrap/>
              <w:overflowPunct/>
              <w:topLinePunct w:val="0"/>
              <w:autoSpaceDE w:val="0"/>
              <w:autoSpaceDN/>
              <w:bidi w:val="0"/>
              <w:adjustRightInd/>
              <w:snapToGrid/>
              <w:spacing w:line="400" w:lineRule="exact"/>
              <w:jc w:val="center"/>
              <w:textAlignment w:val="auto"/>
              <w:rPr>
                <w:rFonts w:hint="eastAsia" w:ascii="方正仿宋_GBK" w:hAnsi="方正仿宋_GBK" w:eastAsia="方正仿宋_GBK" w:cs="方正仿宋_GBK"/>
                <w:b/>
                <w:bCs/>
                <w:color w:val="auto"/>
                <w:sz w:val="24"/>
                <w:szCs w:val="24"/>
                <w:highlight w:val="none"/>
              </w:rPr>
            </w:pPr>
            <w:r>
              <w:rPr>
                <w:rFonts w:hint="eastAsia" w:ascii="方正仿宋_GBK" w:hAnsi="方正仿宋_GBK" w:eastAsia="方正仿宋_GBK" w:cs="方正仿宋_GBK"/>
                <w:b/>
                <w:bCs/>
                <w:color w:val="auto"/>
                <w:sz w:val="24"/>
                <w:szCs w:val="24"/>
                <w:highlight w:val="none"/>
              </w:rPr>
              <w:t>考核说明</w:t>
            </w:r>
          </w:p>
        </w:tc>
      </w:tr>
      <w:tr w14:paraId="54252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3" w:type="pct"/>
            <w:vMerge w:val="restart"/>
            <w:tcBorders>
              <w:top w:val="nil"/>
              <w:left w:val="single" w:color="auto" w:sz="4" w:space="0"/>
              <w:bottom w:val="single" w:color="auto" w:sz="4" w:space="0"/>
              <w:right w:val="single" w:color="auto" w:sz="4" w:space="0"/>
            </w:tcBorders>
            <w:noWrap w:val="0"/>
            <w:vAlign w:val="center"/>
          </w:tcPr>
          <w:p w14:paraId="6032316F">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货品质量</w:t>
            </w:r>
          </w:p>
        </w:tc>
        <w:tc>
          <w:tcPr>
            <w:tcW w:w="892" w:type="pct"/>
            <w:tcBorders>
              <w:top w:val="single" w:color="auto" w:sz="4" w:space="0"/>
              <w:left w:val="nil"/>
              <w:bottom w:val="single" w:color="auto" w:sz="4" w:space="0"/>
              <w:right w:val="single" w:color="auto" w:sz="4" w:space="0"/>
            </w:tcBorders>
            <w:noWrap w:val="0"/>
            <w:vAlign w:val="center"/>
          </w:tcPr>
          <w:p w14:paraId="42067B1A">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配送货物质量合格</w:t>
            </w:r>
          </w:p>
        </w:tc>
        <w:tc>
          <w:tcPr>
            <w:tcW w:w="3724" w:type="pct"/>
            <w:tcBorders>
              <w:top w:val="single" w:color="auto" w:sz="4" w:space="0"/>
              <w:left w:val="nil"/>
              <w:bottom w:val="single" w:color="auto" w:sz="4" w:space="0"/>
              <w:right w:val="single" w:color="auto" w:sz="4" w:space="0"/>
            </w:tcBorders>
            <w:noWrap w:val="0"/>
            <w:vAlign w:val="center"/>
          </w:tcPr>
          <w:p w14:paraId="3FF18821">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出现货物</w:t>
            </w:r>
            <w:r>
              <w:rPr>
                <w:rFonts w:hint="eastAsia" w:ascii="方正仿宋_GBK" w:hAnsi="方正仿宋_GBK" w:eastAsia="方正仿宋_GBK" w:cs="方正仿宋_GBK"/>
                <w:color w:val="auto"/>
                <w:sz w:val="24"/>
                <w:szCs w:val="24"/>
                <w:highlight w:val="none"/>
                <w:lang w:val="en-US" w:eastAsia="zh-CN"/>
              </w:rPr>
              <w:t>结块、</w:t>
            </w:r>
            <w:r>
              <w:rPr>
                <w:rFonts w:hint="eastAsia" w:ascii="方正仿宋_GBK" w:hAnsi="方正仿宋_GBK" w:eastAsia="方正仿宋_GBK" w:cs="方正仿宋_GBK"/>
                <w:color w:val="auto"/>
                <w:sz w:val="24"/>
                <w:szCs w:val="24"/>
                <w:highlight w:val="none"/>
              </w:rPr>
              <w:t>颜色变深、变浅或出现不均匀色斑变质</w:t>
            </w:r>
            <w:r>
              <w:rPr>
                <w:rFonts w:hint="eastAsia" w:ascii="方正仿宋_GBK" w:hAnsi="方正仿宋_GBK" w:eastAsia="方正仿宋_GBK" w:cs="方正仿宋_GBK"/>
                <w:color w:val="auto"/>
                <w:sz w:val="24"/>
                <w:szCs w:val="24"/>
                <w:highlight w:val="none"/>
                <w:lang w:eastAsia="zh-CN"/>
              </w:rPr>
              <w:t>、</w:t>
            </w:r>
            <w:r>
              <w:rPr>
                <w:rFonts w:hint="eastAsia" w:ascii="方正仿宋_GBK" w:hAnsi="方正仿宋_GBK" w:eastAsia="方正仿宋_GBK" w:cs="方正仿宋_GBK"/>
                <w:color w:val="auto"/>
                <w:sz w:val="24"/>
                <w:szCs w:val="24"/>
                <w:highlight w:val="none"/>
                <w:lang w:val="en-US" w:eastAsia="zh-CN"/>
              </w:rPr>
              <w:t>营养制剂混杂质、</w:t>
            </w:r>
            <w:r>
              <w:rPr>
                <w:rFonts w:hint="eastAsia" w:ascii="方正仿宋_GBK" w:hAnsi="方正仿宋_GBK" w:eastAsia="方正仿宋_GBK" w:cs="方正仿宋_GBK"/>
                <w:color w:val="auto"/>
                <w:sz w:val="24"/>
                <w:szCs w:val="24"/>
                <w:highlight w:val="none"/>
              </w:rPr>
              <w:t>霉变等质量问题的，每个单品一次扣5分并做退货处理；出现其他质量问题的，每个单品一次扣1分，出现以次充好、</w:t>
            </w:r>
            <w:r>
              <w:rPr>
                <w:rFonts w:hint="eastAsia" w:ascii="方正仿宋_GBK" w:hAnsi="方正仿宋_GBK" w:eastAsia="方正仿宋_GBK" w:cs="方正仿宋_GBK"/>
                <w:color w:val="auto"/>
                <w:sz w:val="24"/>
                <w:szCs w:val="24"/>
                <w:highlight w:val="none"/>
                <w:lang w:val="en-US" w:eastAsia="zh-CN"/>
              </w:rPr>
              <w:t>产品使用效期时间短于2/3的生产日期</w:t>
            </w:r>
            <w:r>
              <w:rPr>
                <w:rFonts w:hint="eastAsia" w:ascii="方正仿宋_GBK" w:hAnsi="方正仿宋_GBK" w:eastAsia="方正仿宋_GBK" w:cs="方正仿宋_GBK"/>
                <w:color w:val="auto"/>
                <w:sz w:val="24"/>
                <w:szCs w:val="24"/>
                <w:highlight w:val="none"/>
                <w:lang w:eastAsia="zh-CN"/>
              </w:rPr>
              <w:t>（</w:t>
            </w:r>
            <w:r>
              <w:rPr>
                <w:rFonts w:hint="eastAsia" w:ascii="方正仿宋_GBK" w:hAnsi="方正仿宋_GBK" w:eastAsia="方正仿宋_GBK" w:cs="方正仿宋_GBK"/>
                <w:color w:val="auto"/>
                <w:sz w:val="24"/>
                <w:szCs w:val="24"/>
                <w:highlight w:val="none"/>
                <w:lang w:val="en-US" w:eastAsia="zh-CN"/>
              </w:rPr>
              <w:t>特殊情况下除外，最终解释权归临床营养科</w:t>
            </w:r>
            <w:r>
              <w:rPr>
                <w:rFonts w:hint="eastAsia" w:ascii="方正仿宋_GBK" w:hAnsi="方正仿宋_GBK" w:eastAsia="方正仿宋_GBK" w:cs="方正仿宋_GBK"/>
                <w:color w:val="auto"/>
                <w:sz w:val="24"/>
                <w:szCs w:val="24"/>
                <w:highlight w:val="none"/>
                <w:lang w:eastAsia="zh-CN"/>
              </w:rPr>
              <w:t>）</w:t>
            </w:r>
            <w:r>
              <w:rPr>
                <w:rFonts w:hint="eastAsia" w:ascii="方正仿宋_GBK" w:hAnsi="方正仿宋_GBK" w:eastAsia="方正仿宋_GBK" w:cs="方正仿宋_GBK"/>
                <w:color w:val="auto"/>
                <w:sz w:val="24"/>
                <w:szCs w:val="24"/>
                <w:highlight w:val="none"/>
              </w:rPr>
              <w:t>每个单品一次扣2分。经检测，如出现因食物质量问题导致</w:t>
            </w:r>
            <w:r>
              <w:rPr>
                <w:rFonts w:hint="eastAsia" w:ascii="方正仿宋_GBK" w:hAnsi="方正仿宋_GBK" w:eastAsia="方正仿宋_GBK" w:cs="方正仿宋_GBK"/>
                <w:color w:val="auto"/>
                <w:sz w:val="24"/>
                <w:szCs w:val="24"/>
                <w:highlight w:val="none"/>
                <w:lang w:val="en-US" w:eastAsia="zh-CN"/>
              </w:rPr>
              <w:t>使用人员</w:t>
            </w:r>
            <w:r>
              <w:rPr>
                <w:rFonts w:hint="eastAsia" w:ascii="方正仿宋_GBK" w:hAnsi="方正仿宋_GBK" w:eastAsia="方正仿宋_GBK" w:cs="方正仿宋_GBK"/>
                <w:color w:val="auto"/>
                <w:sz w:val="24"/>
                <w:szCs w:val="24"/>
                <w:highlight w:val="none"/>
              </w:rPr>
              <w:t>食物中毒，情况较轻微的一次扣15分，造成严重影响的一次扣25分以上。</w:t>
            </w:r>
          </w:p>
        </w:tc>
      </w:tr>
      <w:tr w14:paraId="0C88A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Merge w:val="continue"/>
            <w:tcBorders>
              <w:top w:val="nil"/>
              <w:left w:val="single" w:color="auto" w:sz="4" w:space="0"/>
              <w:bottom w:val="single" w:color="auto" w:sz="4" w:space="0"/>
              <w:right w:val="single" w:color="auto" w:sz="4" w:space="0"/>
            </w:tcBorders>
            <w:noWrap w:val="0"/>
            <w:vAlign w:val="center"/>
          </w:tcPr>
          <w:p w14:paraId="6F8E3FBF">
            <w:pPr>
              <w:keepNext w:val="0"/>
              <w:keepLines w:val="0"/>
              <w:pageBreakBefore w:val="0"/>
              <w:widowControl/>
              <w:kinsoku/>
              <w:wordWrap/>
              <w:overflowPunct/>
              <w:topLinePunct w:val="0"/>
              <w:autoSpaceDN/>
              <w:bidi w:val="0"/>
              <w:adjustRightInd/>
              <w:snapToGrid/>
              <w:spacing w:line="400" w:lineRule="exact"/>
              <w:jc w:val="left"/>
              <w:textAlignment w:val="auto"/>
              <w:rPr>
                <w:rFonts w:hint="eastAsia" w:ascii="方正仿宋_GBK" w:hAnsi="方正仿宋_GBK" w:eastAsia="方正仿宋_GBK" w:cs="方正仿宋_GBK"/>
                <w:color w:val="auto"/>
                <w:sz w:val="24"/>
                <w:szCs w:val="24"/>
                <w:highlight w:val="none"/>
              </w:rPr>
            </w:pPr>
          </w:p>
        </w:tc>
        <w:tc>
          <w:tcPr>
            <w:tcW w:w="892" w:type="pct"/>
            <w:tcBorders>
              <w:top w:val="single" w:color="auto" w:sz="4" w:space="0"/>
              <w:left w:val="nil"/>
              <w:bottom w:val="single" w:color="auto" w:sz="4" w:space="0"/>
              <w:right w:val="single" w:color="auto" w:sz="4" w:space="0"/>
            </w:tcBorders>
            <w:noWrap w:val="0"/>
            <w:vAlign w:val="center"/>
          </w:tcPr>
          <w:p w14:paraId="4B8E2D0C">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配送品种、品牌、规格、品质、含水（冰）量等符合约定标准的货物</w:t>
            </w:r>
          </w:p>
        </w:tc>
        <w:tc>
          <w:tcPr>
            <w:tcW w:w="3724" w:type="pct"/>
            <w:tcBorders>
              <w:top w:val="single" w:color="auto" w:sz="4" w:space="0"/>
              <w:left w:val="nil"/>
              <w:bottom w:val="single" w:color="auto" w:sz="4" w:space="0"/>
              <w:right w:val="single" w:color="auto" w:sz="4" w:space="0"/>
            </w:tcBorders>
            <w:noWrap w:val="0"/>
            <w:vAlign w:val="center"/>
          </w:tcPr>
          <w:p w14:paraId="538E4A29">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未经同意不得随意更换货物的品牌、品种、规格、型号等，随意更换的，每个单品一次扣2分并做退货处理；配送商以无货品、无利润为由，拒绝配送货物，每个单品一次扣3分；每月退货次数达到3次的扣2分，每月退货次数达到4次及以上的，扣5分。</w:t>
            </w:r>
          </w:p>
        </w:tc>
      </w:tr>
      <w:tr w14:paraId="52183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Merge w:val="continue"/>
            <w:tcBorders>
              <w:top w:val="nil"/>
              <w:left w:val="single" w:color="auto" w:sz="4" w:space="0"/>
              <w:bottom w:val="single" w:color="auto" w:sz="4" w:space="0"/>
              <w:right w:val="single" w:color="auto" w:sz="4" w:space="0"/>
            </w:tcBorders>
            <w:noWrap w:val="0"/>
            <w:vAlign w:val="center"/>
          </w:tcPr>
          <w:p w14:paraId="27A662E0">
            <w:pPr>
              <w:keepNext w:val="0"/>
              <w:keepLines w:val="0"/>
              <w:pageBreakBefore w:val="0"/>
              <w:widowControl/>
              <w:kinsoku/>
              <w:wordWrap/>
              <w:overflowPunct/>
              <w:topLinePunct w:val="0"/>
              <w:autoSpaceDN/>
              <w:bidi w:val="0"/>
              <w:adjustRightInd/>
              <w:snapToGrid/>
              <w:spacing w:line="400" w:lineRule="exact"/>
              <w:jc w:val="left"/>
              <w:textAlignment w:val="auto"/>
              <w:rPr>
                <w:rFonts w:hint="eastAsia" w:ascii="方正仿宋_GBK" w:hAnsi="方正仿宋_GBK" w:eastAsia="方正仿宋_GBK" w:cs="方正仿宋_GBK"/>
                <w:color w:val="auto"/>
                <w:sz w:val="24"/>
                <w:szCs w:val="24"/>
                <w:highlight w:val="none"/>
              </w:rPr>
            </w:pPr>
          </w:p>
        </w:tc>
        <w:tc>
          <w:tcPr>
            <w:tcW w:w="892" w:type="pct"/>
            <w:tcBorders>
              <w:top w:val="single" w:color="auto" w:sz="4" w:space="0"/>
              <w:left w:val="nil"/>
              <w:bottom w:val="single" w:color="auto" w:sz="4" w:space="0"/>
              <w:right w:val="single" w:color="auto" w:sz="4" w:space="0"/>
            </w:tcBorders>
            <w:noWrap w:val="0"/>
            <w:vAlign w:val="center"/>
          </w:tcPr>
          <w:p w14:paraId="0504EA00">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配送具备相关产品信息的货物</w:t>
            </w:r>
          </w:p>
        </w:tc>
        <w:tc>
          <w:tcPr>
            <w:tcW w:w="3724" w:type="pct"/>
            <w:tcBorders>
              <w:top w:val="single" w:color="auto" w:sz="4" w:space="0"/>
              <w:left w:val="nil"/>
              <w:bottom w:val="single" w:color="auto" w:sz="4" w:space="0"/>
              <w:right w:val="single" w:color="auto" w:sz="4" w:space="0"/>
            </w:tcBorders>
            <w:noWrap w:val="0"/>
            <w:vAlign w:val="center"/>
          </w:tcPr>
          <w:p w14:paraId="6614C215">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货物应有相关产品信息（包括生产日期、保质期、生产厂家、生产许可证号、</w:t>
            </w:r>
            <w:r>
              <w:rPr>
                <w:rFonts w:hint="eastAsia" w:ascii="方正仿宋_GBK" w:hAnsi="方正仿宋_GBK" w:eastAsia="方正仿宋_GBK" w:cs="方正仿宋_GBK"/>
                <w:color w:val="auto"/>
                <w:sz w:val="24"/>
                <w:szCs w:val="24"/>
                <w:highlight w:val="none"/>
                <w:lang w:val="en-US" w:eastAsia="zh-CN"/>
              </w:rPr>
              <w:t>产品检验报告单</w:t>
            </w:r>
            <w:r>
              <w:rPr>
                <w:rFonts w:hint="eastAsia" w:ascii="方正仿宋_GBK" w:hAnsi="方正仿宋_GBK" w:eastAsia="方正仿宋_GBK" w:cs="方正仿宋_GBK"/>
                <w:color w:val="auto"/>
                <w:sz w:val="24"/>
                <w:szCs w:val="24"/>
                <w:highlight w:val="none"/>
              </w:rPr>
              <w:t xml:space="preserve">等），如没有，每个单品每次扣2分。                                                                                                                                                                                                                                                </w:t>
            </w:r>
          </w:p>
        </w:tc>
      </w:tr>
      <w:tr w14:paraId="7C03C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Merge w:val="continue"/>
            <w:tcBorders>
              <w:top w:val="nil"/>
              <w:left w:val="single" w:color="auto" w:sz="4" w:space="0"/>
              <w:bottom w:val="single" w:color="auto" w:sz="4" w:space="0"/>
              <w:right w:val="single" w:color="auto" w:sz="4" w:space="0"/>
            </w:tcBorders>
            <w:noWrap w:val="0"/>
            <w:vAlign w:val="center"/>
          </w:tcPr>
          <w:p w14:paraId="511844C8">
            <w:pPr>
              <w:keepNext w:val="0"/>
              <w:keepLines w:val="0"/>
              <w:pageBreakBefore w:val="0"/>
              <w:widowControl/>
              <w:kinsoku/>
              <w:wordWrap/>
              <w:overflowPunct/>
              <w:topLinePunct w:val="0"/>
              <w:autoSpaceDN/>
              <w:bidi w:val="0"/>
              <w:adjustRightInd/>
              <w:snapToGrid/>
              <w:spacing w:line="400" w:lineRule="exact"/>
              <w:jc w:val="left"/>
              <w:textAlignment w:val="auto"/>
              <w:rPr>
                <w:rFonts w:hint="eastAsia" w:ascii="方正仿宋_GBK" w:hAnsi="方正仿宋_GBK" w:eastAsia="方正仿宋_GBK" w:cs="方正仿宋_GBK"/>
                <w:color w:val="auto"/>
                <w:sz w:val="24"/>
                <w:szCs w:val="24"/>
                <w:highlight w:val="none"/>
              </w:rPr>
            </w:pPr>
          </w:p>
        </w:tc>
        <w:tc>
          <w:tcPr>
            <w:tcW w:w="892" w:type="pct"/>
            <w:tcBorders>
              <w:top w:val="single" w:color="auto" w:sz="4" w:space="0"/>
              <w:left w:val="nil"/>
              <w:bottom w:val="single" w:color="auto" w:sz="4" w:space="0"/>
              <w:right w:val="single" w:color="auto" w:sz="4" w:space="0"/>
            </w:tcBorders>
            <w:noWrap w:val="0"/>
            <w:vAlign w:val="center"/>
          </w:tcPr>
          <w:p w14:paraId="388FC696">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配送数量</w:t>
            </w:r>
          </w:p>
          <w:p w14:paraId="49EBC84A">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浮动标准</w:t>
            </w:r>
          </w:p>
        </w:tc>
        <w:tc>
          <w:tcPr>
            <w:tcW w:w="3724" w:type="pct"/>
            <w:tcBorders>
              <w:top w:val="single" w:color="auto" w:sz="4" w:space="0"/>
              <w:left w:val="nil"/>
              <w:bottom w:val="single" w:color="auto" w:sz="4" w:space="0"/>
              <w:right w:val="single" w:color="auto" w:sz="4" w:space="0"/>
            </w:tcBorders>
            <w:noWrap w:val="0"/>
            <w:vAlign w:val="center"/>
          </w:tcPr>
          <w:p w14:paraId="06E5AA4F">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一般货物实际供应量在计划数量基础上，上下浮动不得超过±5%，如超过相应比例视作违规配送，每个单品一次扣1分。</w:t>
            </w:r>
          </w:p>
        </w:tc>
      </w:tr>
      <w:tr w14:paraId="76789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3" w:type="pct"/>
            <w:vMerge w:val="restart"/>
            <w:tcBorders>
              <w:top w:val="nil"/>
              <w:left w:val="single" w:color="auto" w:sz="4" w:space="0"/>
              <w:bottom w:val="single" w:color="auto" w:sz="4" w:space="0"/>
              <w:right w:val="single" w:color="auto" w:sz="4" w:space="0"/>
            </w:tcBorders>
            <w:noWrap w:val="0"/>
            <w:vAlign w:val="center"/>
          </w:tcPr>
          <w:p w14:paraId="68207647">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服务质量</w:t>
            </w:r>
          </w:p>
        </w:tc>
        <w:tc>
          <w:tcPr>
            <w:tcW w:w="892" w:type="pct"/>
            <w:tcBorders>
              <w:top w:val="single" w:color="auto" w:sz="4" w:space="0"/>
              <w:left w:val="nil"/>
              <w:bottom w:val="single" w:color="auto" w:sz="4" w:space="0"/>
              <w:right w:val="single" w:color="auto" w:sz="4" w:space="0"/>
            </w:tcBorders>
            <w:noWrap w:val="0"/>
            <w:vAlign w:val="center"/>
          </w:tcPr>
          <w:p w14:paraId="1A99BFEB">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配送时间</w:t>
            </w:r>
          </w:p>
        </w:tc>
        <w:tc>
          <w:tcPr>
            <w:tcW w:w="3724" w:type="pct"/>
            <w:tcBorders>
              <w:top w:val="single" w:color="auto" w:sz="4" w:space="0"/>
              <w:left w:val="nil"/>
              <w:bottom w:val="single" w:color="auto" w:sz="4" w:space="0"/>
              <w:right w:val="single" w:color="auto" w:sz="4" w:space="0"/>
            </w:tcBorders>
            <w:noWrap w:val="0"/>
            <w:vAlign w:val="center"/>
          </w:tcPr>
          <w:p w14:paraId="5727889F">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每日所需物资中的物品须于约定时间前送达，应急（特别）保障任务必须按照约定时间送达，迟到30分钟内，每次扣1分；迟到30分钟以上每次扣2分；影响</w:t>
            </w:r>
            <w:r>
              <w:rPr>
                <w:rFonts w:hint="eastAsia" w:ascii="方正仿宋_GBK" w:hAnsi="方正仿宋_GBK" w:eastAsia="方正仿宋_GBK" w:cs="方正仿宋_GBK"/>
                <w:color w:val="auto"/>
                <w:sz w:val="24"/>
                <w:szCs w:val="24"/>
                <w:highlight w:val="none"/>
                <w:lang w:val="en-US" w:eastAsia="zh-CN"/>
              </w:rPr>
              <w:t>临床营养业务开展</w:t>
            </w:r>
            <w:r>
              <w:rPr>
                <w:rFonts w:hint="eastAsia" w:ascii="方正仿宋_GBK" w:hAnsi="方正仿宋_GBK" w:eastAsia="方正仿宋_GBK" w:cs="方正仿宋_GBK"/>
                <w:color w:val="auto"/>
                <w:sz w:val="24"/>
                <w:szCs w:val="24"/>
                <w:highlight w:val="none"/>
              </w:rPr>
              <w:t>的（含因时间关系更换</w:t>
            </w:r>
            <w:r>
              <w:rPr>
                <w:rFonts w:hint="eastAsia" w:ascii="方正仿宋_GBK" w:hAnsi="方正仿宋_GBK" w:eastAsia="方正仿宋_GBK" w:cs="方正仿宋_GBK"/>
                <w:color w:val="auto"/>
                <w:sz w:val="24"/>
                <w:szCs w:val="24"/>
                <w:highlight w:val="none"/>
                <w:lang w:val="en-US" w:eastAsia="zh-CN"/>
              </w:rPr>
              <w:t>产品类型</w:t>
            </w:r>
            <w:r>
              <w:rPr>
                <w:rFonts w:hint="eastAsia" w:ascii="方正仿宋_GBK" w:hAnsi="方正仿宋_GBK" w:eastAsia="方正仿宋_GBK" w:cs="方正仿宋_GBK"/>
                <w:color w:val="auto"/>
                <w:sz w:val="24"/>
                <w:szCs w:val="24"/>
                <w:highlight w:val="none"/>
              </w:rPr>
              <w:t>、改变</w:t>
            </w:r>
            <w:r>
              <w:rPr>
                <w:rFonts w:hint="eastAsia" w:ascii="方正仿宋_GBK" w:hAnsi="方正仿宋_GBK" w:eastAsia="方正仿宋_GBK" w:cs="方正仿宋_GBK"/>
                <w:color w:val="auto"/>
                <w:sz w:val="24"/>
                <w:szCs w:val="24"/>
                <w:highlight w:val="none"/>
                <w:lang w:val="en-US" w:eastAsia="zh-CN"/>
              </w:rPr>
              <w:t>治疗处方</w:t>
            </w:r>
            <w:r>
              <w:rPr>
                <w:rFonts w:hint="eastAsia" w:ascii="方正仿宋_GBK" w:hAnsi="方正仿宋_GBK" w:eastAsia="方正仿宋_GBK" w:cs="方正仿宋_GBK"/>
                <w:color w:val="auto"/>
                <w:sz w:val="24"/>
                <w:szCs w:val="24"/>
                <w:highlight w:val="none"/>
              </w:rPr>
              <w:t>、延误</w:t>
            </w:r>
            <w:r>
              <w:rPr>
                <w:rFonts w:hint="eastAsia" w:ascii="方正仿宋_GBK" w:hAnsi="方正仿宋_GBK" w:eastAsia="方正仿宋_GBK" w:cs="方正仿宋_GBK"/>
                <w:color w:val="auto"/>
                <w:sz w:val="24"/>
                <w:szCs w:val="24"/>
                <w:highlight w:val="none"/>
                <w:lang w:val="en-US" w:eastAsia="zh-CN"/>
              </w:rPr>
              <w:t>患者正常使用时间、导致病患流失</w:t>
            </w:r>
            <w:r>
              <w:rPr>
                <w:rFonts w:hint="eastAsia" w:ascii="方正仿宋_GBK" w:hAnsi="方正仿宋_GBK" w:eastAsia="方正仿宋_GBK" w:cs="方正仿宋_GBK"/>
                <w:color w:val="auto"/>
                <w:sz w:val="24"/>
                <w:szCs w:val="24"/>
                <w:highlight w:val="none"/>
              </w:rPr>
              <w:t>等情况）一次扣5分。</w:t>
            </w:r>
          </w:p>
        </w:tc>
      </w:tr>
      <w:tr w14:paraId="3EC5F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Merge w:val="continue"/>
            <w:tcBorders>
              <w:top w:val="nil"/>
              <w:left w:val="single" w:color="auto" w:sz="4" w:space="0"/>
              <w:bottom w:val="single" w:color="auto" w:sz="4" w:space="0"/>
              <w:right w:val="single" w:color="auto" w:sz="4" w:space="0"/>
            </w:tcBorders>
            <w:noWrap w:val="0"/>
            <w:vAlign w:val="center"/>
          </w:tcPr>
          <w:p w14:paraId="1A7B5543">
            <w:pPr>
              <w:keepNext w:val="0"/>
              <w:keepLines w:val="0"/>
              <w:pageBreakBefore w:val="0"/>
              <w:widowControl/>
              <w:kinsoku/>
              <w:wordWrap/>
              <w:overflowPunct/>
              <w:topLinePunct w:val="0"/>
              <w:autoSpaceDN/>
              <w:bidi w:val="0"/>
              <w:adjustRightInd/>
              <w:snapToGrid/>
              <w:spacing w:line="400" w:lineRule="exact"/>
              <w:jc w:val="left"/>
              <w:textAlignment w:val="auto"/>
              <w:rPr>
                <w:rFonts w:hint="eastAsia" w:ascii="方正仿宋_GBK" w:hAnsi="方正仿宋_GBK" w:eastAsia="方正仿宋_GBK" w:cs="方正仿宋_GBK"/>
                <w:color w:val="auto"/>
                <w:sz w:val="24"/>
                <w:szCs w:val="24"/>
                <w:highlight w:val="none"/>
              </w:rPr>
            </w:pPr>
          </w:p>
        </w:tc>
        <w:tc>
          <w:tcPr>
            <w:tcW w:w="892" w:type="pct"/>
            <w:tcBorders>
              <w:top w:val="single" w:color="auto" w:sz="4" w:space="0"/>
              <w:left w:val="nil"/>
              <w:bottom w:val="single" w:color="auto" w:sz="4" w:space="0"/>
              <w:right w:val="single" w:color="auto" w:sz="4" w:space="0"/>
            </w:tcBorders>
            <w:noWrap w:val="0"/>
            <w:vAlign w:val="center"/>
          </w:tcPr>
          <w:p w14:paraId="4CBF2385">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漏送货情况，退换、补货情况</w:t>
            </w:r>
          </w:p>
        </w:tc>
        <w:tc>
          <w:tcPr>
            <w:tcW w:w="3724" w:type="pct"/>
            <w:tcBorders>
              <w:top w:val="single" w:color="auto" w:sz="4" w:space="0"/>
              <w:left w:val="nil"/>
              <w:bottom w:val="single" w:color="auto" w:sz="4" w:space="0"/>
              <w:right w:val="single" w:color="auto" w:sz="4" w:space="0"/>
            </w:tcBorders>
            <w:noWrap w:val="0"/>
            <w:vAlign w:val="center"/>
          </w:tcPr>
          <w:p w14:paraId="5F8C648B">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漏送货在不影响</w:t>
            </w:r>
            <w:r>
              <w:rPr>
                <w:rFonts w:hint="eastAsia" w:ascii="方正仿宋_GBK" w:hAnsi="方正仿宋_GBK" w:eastAsia="方正仿宋_GBK" w:cs="方正仿宋_GBK"/>
                <w:color w:val="auto"/>
                <w:sz w:val="24"/>
                <w:szCs w:val="24"/>
                <w:highlight w:val="none"/>
                <w:lang w:val="en-US" w:eastAsia="zh-CN"/>
              </w:rPr>
              <w:t>临床工作开展</w:t>
            </w:r>
            <w:r>
              <w:rPr>
                <w:rFonts w:hint="eastAsia" w:ascii="方正仿宋_GBK" w:hAnsi="方正仿宋_GBK" w:eastAsia="方正仿宋_GBK" w:cs="方正仿宋_GBK"/>
                <w:color w:val="auto"/>
                <w:sz w:val="24"/>
                <w:szCs w:val="24"/>
                <w:highlight w:val="none"/>
              </w:rPr>
              <w:t>的情况下，每月第一次做警告提醒，第二次起每次扣1分，超过三个品种的每次扣2分；因漏送货、退货等原因导致货物不足的，必须按照规定时间补足货物，因未补足货物影响</w:t>
            </w:r>
            <w:r>
              <w:rPr>
                <w:rFonts w:hint="eastAsia" w:ascii="方正仿宋_GBK" w:hAnsi="方正仿宋_GBK" w:eastAsia="方正仿宋_GBK" w:cs="方正仿宋_GBK"/>
                <w:color w:val="auto"/>
                <w:sz w:val="24"/>
                <w:szCs w:val="24"/>
                <w:highlight w:val="none"/>
                <w:lang w:val="en-US" w:eastAsia="zh-CN"/>
              </w:rPr>
              <w:t>临床营养工作</w:t>
            </w:r>
            <w:r>
              <w:rPr>
                <w:rFonts w:hint="eastAsia" w:ascii="方正仿宋_GBK" w:hAnsi="方正仿宋_GBK" w:eastAsia="方正仿宋_GBK" w:cs="方正仿宋_GBK"/>
                <w:color w:val="auto"/>
                <w:sz w:val="24"/>
                <w:szCs w:val="24"/>
                <w:highlight w:val="none"/>
              </w:rPr>
              <w:t>的（含因时间关系更换</w:t>
            </w:r>
            <w:r>
              <w:rPr>
                <w:rFonts w:hint="eastAsia" w:ascii="方正仿宋_GBK" w:hAnsi="方正仿宋_GBK" w:eastAsia="方正仿宋_GBK" w:cs="方正仿宋_GBK"/>
                <w:color w:val="auto"/>
                <w:sz w:val="24"/>
                <w:szCs w:val="24"/>
                <w:highlight w:val="none"/>
                <w:lang w:val="en-US" w:eastAsia="zh-CN"/>
              </w:rPr>
              <w:t>产品类型</w:t>
            </w:r>
            <w:r>
              <w:rPr>
                <w:rFonts w:hint="eastAsia" w:ascii="方正仿宋_GBK" w:hAnsi="方正仿宋_GBK" w:eastAsia="方正仿宋_GBK" w:cs="方正仿宋_GBK"/>
                <w:color w:val="auto"/>
                <w:sz w:val="24"/>
                <w:szCs w:val="24"/>
                <w:highlight w:val="none"/>
              </w:rPr>
              <w:t>、改变</w:t>
            </w:r>
            <w:r>
              <w:rPr>
                <w:rFonts w:hint="eastAsia" w:ascii="方正仿宋_GBK" w:hAnsi="方正仿宋_GBK" w:eastAsia="方正仿宋_GBK" w:cs="方正仿宋_GBK"/>
                <w:color w:val="auto"/>
                <w:sz w:val="24"/>
                <w:szCs w:val="24"/>
                <w:highlight w:val="none"/>
                <w:lang w:val="en-US" w:eastAsia="zh-CN"/>
              </w:rPr>
              <w:t>治疗处方</w:t>
            </w:r>
            <w:r>
              <w:rPr>
                <w:rFonts w:hint="eastAsia" w:ascii="方正仿宋_GBK" w:hAnsi="方正仿宋_GBK" w:eastAsia="方正仿宋_GBK" w:cs="方正仿宋_GBK"/>
                <w:color w:val="auto"/>
                <w:sz w:val="24"/>
                <w:szCs w:val="24"/>
                <w:highlight w:val="none"/>
              </w:rPr>
              <w:t>、延误</w:t>
            </w:r>
            <w:r>
              <w:rPr>
                <w:rFonts w:hint="eastAsia" w:ascii="方正仿宋_GBK" w:hAnsi="方正仿宋_GBK" w:eastAsia="方正仿宋_GBK" w:cs="方正仿宋_GBK"/>
                <w:color w:val="auto"/>
                <w:sz w:val="24"/>
                <w:szCs w:val="24"/>
                <w:highlight w:val="none"/>
                <w:lang w:val="en-US" w:eastAsia="zh-CN"/>
              </w:rPr>
              <w:t>患者正常使用时间、导致病患流失</w:t>
            </w:r>
            <w:r>
              <w:rPr>
                <w:rFonts w:hint="eastAsia" w:ascii="方正仿宋_GBK" w:hAnsi="方正仿宋_GBK" w:eastAsia="方正仿宋_GBK" w:cs="方正仿宋_GBK"/>
                <w:color w:val="auto"/>
                <w:sz w:val="24"/>
                <w:szCs w:val="24"/>
                <w:highlight w:val="none"/>
              </w:rPr>
              <w:t>等情况）一次扣4分。</w:t>
            </w:r>
          </w:p>
        </w:tc>
      </w:tr>
      <w:tr w14:paraId="125C1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3" w:type="pct"/>
            <w:vMerge w:val="restart"/>
            <w:tcBorders>
              <w:top w:val="nil"/>
              <w:left w:val="single" w:color="auto" w:sz="4" w:space="0"/>
              <w:bottom w:val="single" w:color="auto" w:sz="4" w:space="0"/>
              <w:right w:val="single" w:color="auto" w:sz="4" w:space="0"/>
            </w:tcBorders>
            <w:noWrap w:val="0"/>
            <w:vAlign w:val="center"/>
          </w:tcPr>
          <w:p w14:paraId="3D7B6078">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其他</w:t>
            </w:r>
          </w:p>
        </w:tc>
        <w:tc>
          <w:tcPr>
            <w:tcW w:w="892" w:type="pct"/>
            <w:tcBorders>
              <w:top w:val="single" w:color="auto" w:sz="4" w:space="0"/>
              <w:left w:val="nil"/>
              <w:bottom w:val="single" w:color="auto" w:sz="4" w:space="0"/>
              <w:right w:val="single" w:color="auto" w:sz="4" w:space="0"/>
            </w:tcBorders>
            <w:noWrap w:val="0"/>
            <w:vAlign w:val="center"/>
          </w:tcPr>
          <w:p w14:paraId="1B8F61AF">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应急任务</w:t>
            </w:r>
          </w:p>
        </w:tc>
        <w:tc>
          <w:tcPr>
            <w:tcW w:w="3724" w:type="pct"/>
            <w:tcBorders>
              <w:top w:val="single" w:color="auto" w:sz="4" w:space="0"/>
              <w:left w:val="nil"/>
              <w:bottom w:val="single" w:color="auto" w:sz="4" w:space="0"/>
              <w:right w:val="single" w:color="auto" w:sz="4" w:space="0"/>
            </w:tcBorders>
            <w:noWrap w:val="0"/>
            <w:vAlign w:val="center"/>
          </w:tcPr>
          <w:p w14:paraId="1D3D685A">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未按合同约定完成应急保障任务，每次扣4分。</w:t>
            </w:r>
          </w:p>
        </w:tc>
      </w:tr>
      <w:tr w14:paraId="5AF61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Merge w:val="continue"/>
            <w:tcBorders>
              <w:top w:val="nil"/>
              <w:left w:val="single" w:color="auto" w:sz="4" w:space="0"/>
              <w:bottom w:val="single" w:color="auto" w:sz="4" w:space="0"/>
              <w:right w:val="single" w:color="auto" w:sz="4" w:space="0"/>
            </w:tcBorders>
            <w:noWrap w:val="0"/>
            <w:vAlign w:val="center"/>
          </w:tcPr>
          <w:p w14:paraId="38F299E1">
            <w:pPr>
              <w:keepNext w:val="0"/>
              <w:keepLines w:val="0"/>
              <w:pageBreakBefore w:val="0"/>
              <w:widowControl/>
              <w:kinsoku/>
              <w:wordWrap/>
              <w:overflowPunct/>
              <w:topLinePunct w:val="0"/>
              <w:autoSpaceDN/>
              <w:bidi w:val="0"/>
              <w:adjustRightInd/>
              <w:snapToGrid/>
              <w:spacing w:line="400" w:lineRule="exact"/>
              <w:jc w:val="left"/>
              <w:textAlignment w:val="auto"/>
              <w:rPr>
                <w:rFonts w:hint="eastAsia" w:ascii="方正仿宋_GBK" w:hAnsi="方正仿宋_GBK" w:eastAsia="方正仿宋_GBK" w:cs="方正仿宋_GBK"/>
                <w:color w:val="auto"/>
                <w:sz w:val="24"/>
                <w:szCs w:val="24"/>
                <w:highlight w:val="none"/>
              </w:rPr>
            </w:pPr>
          </w:p>
        </w:tc>
        <w:tc>
          <w:tcPr>
            <w:tcW w:w="892" w:type="pct"/>
            <w:tcBorders>
              <w:top w:val="single" w:color="auto" w:sz="4" w:space="0"/>
              <w:left w:val="nil"/>
              <w:bottom w:val="single" w:color="auto" w:sz="4" w:space="0"/>
              <w:right w:val="single" w:color="auto" w:sz="4" w:space="0"/>
            </w:tcBorders>
            <w:noWrap w:val="0"/>
            <w:vAlign w:val="center"/>
          </w:tcPr>
          <w:p w14:paraId="435B3E8F">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代购物资</w:t>
            </w:r>
          </w:p>
        </w:tc>
        <w:tc>
          <w:tcPr>
            <w:tcW w:w="3724" w:type="pct"/>
            <w:tcBorders>
              <w:top w:val="single" w:color="auto" w:sz="4" w:space="0"/>
              <w:left w:val="nil"/>
              <w:bottom w:val="single" w:color="auto" w:sz="4" w:space="0"/>
              <w:right w:val="single" w:color="auto" w:sz="4" w:space="0"/>
            </w:tcBorders>
            <w:noWrap w:val="0"/>
            <w:vAlign w:val="center"/>
          </w:tcPr>
          <w:p w14:paraId="0953CC40">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一般性物资，急需物资按采购人要求在约定时间内</w:t>
            </w:r>
            <w:r>
              <w:rPr>
                <w:rFonts w:hint="eastAsia" w:ascii="方正仿宋_GBK" w:hAnsi="方正仿宋_GBK" w:eastAsia="方正仿宋_GBK" w:cs="方正仿宋_GBK"/>
                <w:color w:val="auto"/>
                <w:sz w:val="24"/>
                <w:szCs w:val="24"/>
                <w:highlight w:val="none"/>
                <w:lang w:val="en-US" w:eastAsia="zh-CN"/>
              </w:rPr>
              <w:t>供货</w:t>
            </w:r>
            <w:r>
              <w:rPr>
                <w:rFonts w:hint="eastAsia" w:ascii="方正仿宋_GBK" w:hAnsi="方正仿宋_GBK" w:eastAsia="方正仿宋_GBK" w:cs="方正仿宋_GBK"/>
                <w:color w:val="auto"/>
                <w:sz w:val="24"/>
                <w:szCs w:val="24"/>
                <w:highlight w:val="none"/>
              </w:rPr>
              <w:t>到位，每个单品逾期一天扣2分，最多扣10分；特殊保障物资必须在规定时间内</w:t>
            </w:r>
            <w:r>
              <w:rPr>
                <w:rFonts w:hint="eastAsia" w:ascii="方正仿宋_GBK" w:hAnsi="方正仿宋_GBK" w:eastAsia="方正仿宋_GBK" w:cs="方正仿宋_GBK"/>
                <w:color w:val="auto"/>
                <w:sz w:val="24"/>
                <w:szCs w:val="24"/>
                <w:highlight w:val="none"/>
                <w:lang w:val="en-US" w:eastAsia="zh-CN"/>
              </w:rPr>
              <w:t>供货</w:t>
            </w:r>
            <w:r>
              <w:rPr>
                <w:rFonts w:hint="eastAsia" w:ascii="方正仿宋_GBK" w:hAnsi="方正仿宋_GBK" w:eastAsia="方正仿宋_GBK" w:cs="方正仿宋_GBK"/>
                <w:color w:val="auto"/>
                <w:sz w:val="24"/>
                <w:szCs w:val="24"/>
                <w:highlight w:val="none"/>
              </w:rPr>
              <w:t>到位，如延误，每个单品一次扣2分。采购人提供</w:t>
            </w:r>
            <w:r>
              <w:rPr>
                <w:rFonts w:hint="eastAsia" w:ascii="方正仿宋_GBK" w:hAnsi="方正仿宋_GBK" w:eastAsia="方正仿宋_GBK" w:cs="方正仿宋_GBK"/>
                <w:color w:val="auto"/>
                <w:sz w:val="24"/>
                <w:szCs w:val="24"/>
                <w:highlight w:val="none"/>
                <w:lang w:val="en-US" w:eastAsia="zh-CN"/>
              </w:rPr>
              <w:t>供货清单</w:t>
            </w:r>
            <w:r>
              <w:rPr>
                <w:rFonts w:hint="eastAsia" w:ascii="方正仿宋_GBK" w:hAnsi="方正仿宋_GBK" w:eastAsia="方正仿宋_GBK" w:cs="方正仿宋_GBK"/>
                <w:color w:val="auto"/>
                <w:sz w:val="24"/>
                <w:szCs w:val="24"/>
                <w:highlight w:val="none"/>
              </w:rPr>
              <w:t>，</w:t>
            </w:r>
            <w:r>
              <w:rPr>
                <w:rFonts w:hint="eastAsia" w:ascii="方正仿宋_GBK" w:hAnsi="方正仿宋_GBK" w:eastAsia="方正仿宋_GBK" w:cs="方正仿宋_GBK"/>
                <w:color w:val="auto"/>
                <w:sz w:val="24"/>
                <w:szCs w:val="24"/>
                <w:highlight w:val="none"/>
                <w:lang w:val="en-US" w:eastAsia="zh-CN"/>
              </w:rPr>
              <w:t>供货商</w:t>
            </w:r>
            <w:r>
              <w:rPr>
                <w:rFonts w:hint="eastAsia" w:ascii="方正仿宋_GBK" w:hAnsi="方正仿宋_GBK" w:eastAsia="方正仿宋_GBK" w:cs="方正仿宋_GBK"/>
                <w:color w:val="auto"/>
                <w:sz w:val="24"/>
                <w:szCs w:val="24"/>
                <w:highlight w:val="none"/>
              </w:rPr>
              <w:t>须按要求采购，未按要求采购的，一次扣2分。</w:t>
            </w:r>
          </w:p>
        </w:tc>
      </w:tr>
      <w:tr w14:paraId="68411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Merge w:val="continue"/>
            <w:tcBorders>
              <w:top w:val="nil"/>
              <w:left w:val="single" w:color="auto" w:sz="4" w:space="0"/>
              <w:bottom w:val="single" w:color="auto" w:sz="4" w:space="0"/>
              <w:right w:val="single" w:color="auto" w:sz="4" w:space="0"/>
            </w:tcBorders>
            <w:noWrap w:val="0"/>
            <w:vAlign w:val="center"/>
          </w:tcPr>
          <w:p w14:paraId="1805C41F">
            <w:pPr>
              <w:keepNext w:val="0"/>
              <w:keepLines w:val="0"/>
              <w:pageBreakBefore w:val="0"/>
              <w:widowControl/>
              <w:kinsoku/>
              <w:wordWrap/>
              <w:overflowPunct/>
              <w:topLinePunct w:val="0"/>
              <w:autoSpaceDN/>
              <w:bidi w:val="0"/>
              <w:adjustRightInd/>
              <w:snapToGrid/>
              <w:spacing w:line="400" w:lineRule="exact"/>
              <w:jc w:val="left"/>
              <w:textAlignment w:val="auto"/>
              <w:rPr>
                <w:rFonts w:hint="eastAsia" w:ascii="方正仿宋_GBK" w:hAnsi="方正仿宋_GBK" w:eastAsia="方正仿宋_GBK" w:cs="方正仿宋_GBK"/>
                <w:color w:val="auto"/>
                <w:sz w:val="24"/>
                <w:szCs w:val="24"/>
                <w:highlight w:val="none"/>
              </w:rPr>
            </w:pPr>
          </w:p>
        </w:tc>
        <w:tc>
          <w:tcPr>
            <w:tcW w:w="892" w:type="pct"/>
            <w:tcBorders>
              <w:top w:val="single" w:color="auto" w:sz="4" w:space="0"/>
              <w:left w:val="nil"/>
              <w:bottom w:val="single" w:color="auto" w:sz="4" w:space="0"/>
              <w:right w:val="single" w:color="auto" w:sz="4" w:space="0"/>
            </w:tcBorders>
            <w:noWrap w:val="0"/>
            <w:vAlign w:val="center"/>
          </w:tcPr>
          <w:p w14:paraId="781BD498">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缴纳履约保证金情况</w:t>
            </w:r>
          </w:p>
        </w:tc>
        <w:tc>
          <w:tcPr>
            <w:tcW w:w="3724" w:type="pct"/>
            <w:tcBorders>
              <w:top w:val="single" w:color="auto" w:sz="4" w:space="0"/>
              <w:left w:val="nil"/>
              <w:bottom w:val="single" w:color="auto" w:sz="4" w:space="0"/>
              <w:right w:val="single" w:color="auto" w:sz="4" w:space="0"/>
            </w:tcBorders>
            <w:noWrap w:val="0"/>
            <w:vAlign w:val="center"/>
          </w:tcPr>
          <w:p w14:paraId="7F2F0048">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因考核等原因扣除履约保证金的，必须在3日内补交，延误一天扣2分，以此类推，每月最多扣6分。</w:t>
            </w:r>
          </w:p>
        </w:tc>
      </w:tr>
      <w:tr w14:paraId="19BB6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Merge w:val="continue"/>
            <w:tcBorders>
              <w:top w:val="nil"/>
              <w:left w:val="single" w:color="auto" w:sz="4" w:space="0"/>
              <w:bottom w:val="single" w:color="auto" w:sz="4" w:space="0"/>
              <w:right w:val="single" w:color="auto" w:sz="4" w:space="0"/>
            </w:tcBorders>
            <w:noWrap w:val="0"/>
            <w:vAlign w:val="center"/>
          </w:tcPr>
          <w:p w14:paraId="4D778D76">
            <w:pPr>
              <w:keepNext w:val="0"/>
              <w:keepLines w:val="0"/>
              <w:pageBreakBefore w:val="0"/>
              <w:widowControl/>
              <w:kinsoku/>
              <w:wordWrap/>
              <w:overflowPunct/>
              <w:topLinePunct w:val="0"/>
              <w:autoSpaceDN/>
              <w:bidi w:val="0"/>
              <w:adjustRightInd/>
              <w:snapToGrid/>
              <w:spacing w:line="400" w:lineRule="exact"/>
              <w:jc w:val="left"/>
              <w:textAlignment w:val="auto"/>
              <w:rPr>
                <w:rFonts w:hint="eastAsia" w:ascii="方正仿宋_GBK" w:hAnsi="方正仿宋_GBK" w:eastAsia="方正仿宋_GBK" w:cs="方正仿宋_GBK"/>
                <w:color w:val="auto"/>
                <w:sz w:val="24"/>
                <w:szCs w:val="24"/>
                <w:highlight w:val="none"/>
              </w:rPr>
            </w:pPr>
          </w:p>
        </w:tc>
        <w:tc>
          <w:tcPr>
            <w:tcW w:w="892" w:type="pct"/>
            <w:tcBorders>
              <w:top w:val="single" w:color="auto" w:sz="4" w:space="0"/>
              <w:left w:val="nil"/>
              <w:bottom w:val="single" w:color="auto" w:sz="4" w:space="0"/>
              <w:right w:val="single" w:color="auto" w:sz="4" w:space="0"/>
            </w:tcBorders>
            <w:noWrap w:val="0"/>
            <w:vAlign w:val="center"/>
          </w:tcPr>
          <w:p w14:paraId="287C2C04">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履行合同约定情况</w:t>
            </w:r>
          </w:p>
        </w:tc>
        <w:tc>
          <w:tcPr>
            <w:tcW w:w="3724" w:type="pct"/>
            <w:tcBorders>
              <w:top w:val="single" w:color="auto" w:sz="4" w:space="0"/>
              <w:left w:val="nil"/>
              <w:bottom w:val="single" w:color="auto" w:sz="4" w:space="0"/>
              <w:right w:val="single" w:color="auto" w:sz="4" w:space="0"/>
            </w:tcBorders>
            <w:noWrap w:val="0"/>
            <w:vAlign w:val="center"/>
          </w:tcPr>
          <w:p w14:paraId="115E240D">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合同、招标文件、投标文件、投标人承诺书等约定或承诺的相关事项，未完成一项每次扣2分。</w:t>
            </w:r>
          </w:p>
        </w:tc>
      </w:tr>
      <w:tr w14:paraId="37421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Merge w:val="continue"/>
            <w:tcBorders>
              <w:top w:val="nil"/>
              <w:left w:val="single" w:color="auto" w:sz="4" w:space="0"/>
              <w:bottom w:val="single" w:color="auto" w:sz="4" w:space="0"/>
              <w:right w:val="single" w:color="auto" w:sz="4" w:space="0"/>
            </w:tcBorders>
            <w:noWrap w:val="0"/>
            <w:vAlign w:val="center"/>
          </w:tcPr>
          <w:p w14:paraId="7C82D620">
            <w:pPr>
              <w:keepNext w:val="0"/>
              <w:keepLines w:val="0"/>
              <w:pageBreakBefore w:val="0"/>
              <w:widowControl/>
              <w:kinsoku/>
              <w:wordWrap/>
              <w:overflowPunct/>
              <w:topLinePunct w:val="0"/>
              <w:autoSpaceDN/>
              <w:bidi w:val="0"/>
              <w:adjustRightInd/>
              <w:snapToGrid/>
              <w:spacing w:line="400" w:lineRule="exact"/>
              <w:jc w:val="left"/>
              <w:textAlignment w:val="auto"/>
              <w:rPr>
                <w:rFonts w:hint="eastAsia" w:ascii="方正仿宋_GBK" w:hAnsi="方正仿宋_GBK" w:eastAsia="方正仿宋_GBK" w:cs="方正仿宋_GBK"/>
                <w:color w:val="auto"/>
                <w:sz w:val="24"/>
                <w:szCs w:val="24"/>
                <w:highlight w:val="none"/>
              </w:rPr>
            </w:pPr>
          </w:p>
        </w:tc>
        <w:tc>
          <w:tcPr>
            <w:tcW w:w="892" w:type="pct"/>
            <w:tcBorders>
              <w:top w:val="single" w:color="auto" w:sz="4" w:space="0"/>
              <w:left w:val="nil"/>
              <w:bottom w:val="single" w:color="auto" w:sz="4" w:space="0"/>
              <w:right w:val="single" w:color="auto" w:sz="4" w:space="0"/>
            </w:tcBorders>
            <w:noWrap w:val="0"/>
            <w:vAlign w:val="center"/>
          </w:tcPr>
          <w:p w14:paraId="5E6FECBC">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其他</w:t>
            </w:r>
          </w:p>
        </w:tc>
        <w:tc>
          <w:tcPr>
            <w:tcW w:w="3724" w:type="pct"/>
            <w:tcBorders>
              <w:top w:val="single" w:color="auto" w:sz="4" w:space="0"/>
              <w:left w:val="nil"/>
              <w:bottom w:val="single" w:color="auto" w:sz="4" w:space="0"/>
              <w:right w:val="single" w:color="auto" w:sz="4" w:space="0"/>
            </w:tcBorders>
            <w:noWrap w:val="0"/>
            <w:vAlign w:val="center"/>
          </w:tcPr>
          <w:p w14:paraId="3F112082">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违反采购人管理规定被通报一次扣5分；</w:t>
            </w:r>
          </w:p>
        </w:tc>
      </w:tr>
      <w:tr w14:paraId="5C7DB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3" w:type="pct"/>
            <w:tcBorders>
              <w:top w:val="single" w:color="auto" w:sz="4" w:space="0"/>
              <w:left w:val="single" w:color="auto" w:sz="4" w:space="0"/>
              <w:bottom w:val="single" w:color="auto" w:sz="4" w:space="0"/>
              <w:right w:val="single" w:color="auto" w:sz="4" w:space="0"/>
            </w:tcBorders>
            <w:noWrap w:val="0"/>
            <w:vAlign w:val="center"/>
          </w:tcPr>
          <w:p w14:paraId="2A7DD8EA">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加分项目</w:t>
            </w:r>
          </w:p>
        </w:tc>
        <w:tc>
          <w:tcPr>
            <w:tcW w:w="892" w:type="pct"/>
            <w:tcBorders>
              <w:top w:val="single" w:color="auto" w:sz="4" w:space="0"/>
              <w:left w:val="nil"/>
              <w:bottom w:val="single" w:color="auto" w:sz="4" w:space="0"/>
              <w:right w:val="single" w:color="auto" w:sz="4" w:space="0"/>
            </w:tcBorders>
            <w:noWrap w:val="0"/>
            <w:vAlign w:val="center"/>
          </w:tcPr>
          <w:p w14:paraId="27317A1B">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应急任务</w:t>
            </w:r>
          </w:p>
        </w:tc>
        <w:tc>
          <w:tcPr>
            <w:tcW w:w="3724" w:type="pct"/>
            <w:tcBorders>
              <w:top w:val="single" w:color="auto" w:sz="4" w:space="0"/>
              <w:left w:val="nil"/>
              <w:bottom w:val="single" w:color="auto" w:sz="4" w:space="0"/>
              <w:right w:val="single" w:color="auto" w:sz="4" w:space="0"/>
            </w:tcBorders>
            <w:noWrap w:val="0"/>
            <w:vAlign w:val="center"/>
          </w:tcPr>
          <w:p w14:paraId="2CF5117F">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1个月内顺利完成</w:t>
            </w:r>
            <w:r>
              <w:rPr>
                <w:rFonts w:hint="eastAsia" w:ascii="方正仿宋_GBK" w:hAnsi="方正仿宋_GBK" w:eastAsia="方正仿宋_GBK" w:cs="方正仿宋_GBK"/>
                <w:color w:val="auto"/>
                <w:sz w:val="24"/>
                <w:szCs w:val="24"/>
                <w:highlight w:val="none"/>
                <w:lang w:val="en-US" w:eastAsia="zh-CN"/>
              </w:rPr>
              <w:t>2小时</w:t>
            </w:r>
            <w:r>
              <w:rPr>
                <w:rFonts w:hint="eastAsia" w:ascii="方正仿宋_GBK" w:hAnsi="方正仿宋_GBK" w:eastAsia="方正仿宋_GBK" w:cs="方正仿宋_GBK"/>
                <w:color w:val="auto"/>
                <w:sz w:val="24"/>
                <w:szCs w:val="24"/>
                <w:highlight w:val="none"/>
              </w:rPr>
              <w:t>内的应急保障任务，加2分；顺利完成</w:t>
            </w:r>
            <w:r>
              <w:rPr>
                <w:rFonts w:hint="eastAsia" w:ascii="方正仿宋_GBK" w:hAnsi="方正仿宋_GBK" w:eastAsia="方正仿宋_GBK" w:cs="方正仿宋_GBK"/>
                <w:color w:val="auto"/>
                <w:sz w:val="24"/>
                <w:szCs w:val="24"/>
                <w:highlight w:val="none"/>
                <w:lang w:val="en-US" w:eastAsia="zh-CN"/>
              </w:rPr>
              <w:t>1天</w:t>
            </w:r>
            <w:r>
              <w:rPr>
                <w:rFonts w:hint="eastAsia" w:ascii="方正仿宋_GBK" w:hAnsi="方正仿宋_GBK" w:eastAsia="方正仿宋_GBK" w:cs="方正仿宋_GBK"/>
                <w:color w:val="auto"/>
                <w:sz w:val="24"/>
                <w:szCs w:val="24"/>
                <w:highlight w:val="none"/>
              </w:rPr>
              <w:t>内应急保障任务，加1分。</w:t>
            </w:r>
          </w:p>
        </w:tc>
      </w:tr>
      <w:tr w14:paraId="08EBE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75" w:type="pct"/>
            <w:gridSpan w:val="2"/>
            <w:tcBorders>
              <w:top w:val="single" w:color="auto" w:sz="4" w:space="0"/>
              <w:left w:val="single" w:color="auto" w:sz="4" w:space="0"/>
              <w:bottom w:val="single" w:color="auto" w:sz="4" w:space="0"/>
              <w:right w:val="single" w:color="auto" w:sz="4" w:space="0"/>
            </w:tcBorders>
            <w:noWrap w:val="0"/>
            <w:vAlign w:val="center"/>
          </w:tcPr>
          <w:p w14:paraId="09191BB2">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说明</w:t>
            </w:r>
          </w:p>
        </w:tc>
        <w:tc>
          <w:tcPr>
            <w:tcW w:w="3724" w:type="pct"/>
            <w:tcBorders>
              <w:top w:val="single" w:color="auto" w:sz="4" w:space="0"/>
              <w:left w:val="nil"/>
              <w:bottom w:val="single" w:color="auto" w:sz="4" w:space="0"/>
              <w:right w:val="single" w:color="auto" w:sz="4" w:space="0"/>
            </w:tcBorders>
            <w:noWrap w:val="0"/>
            <w:vAlign w:val="center"/>
          </w:tcPr>
          <w:p w14:paraId="4C67CA30">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1、以月为单位进行考核，考核基准分为100分，90分（含90分）以上为“合格”等级（小数点后数字四舍五入,下同）；</w:t>
            </w:r>
          </w:p>
          <w:p w14:paraId="249629DD">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2、达到85分（含85分）以上且低于90分的为“基本合格”等级；</w:t>
            </w:r>
          </w:p>
          <w:p w14:paraId="2F068917">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3、达到80分（含80分）以上且低于85分的为“较差”等级，以85分为基准分值，差1分考核500元。</w:t>
            </w:r>
          </w:p>
          <w:p w14:paraId="203E9768">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4、达到75分（含75分）为“差”等级，以80分为基准分值，差1分考核1000元；</w:t>
            </w:r>
          </w:p>
          <w:p w14:paraId="082F90D3">
            <w:pPr>
              <w:keepNext w:val="0"/>
              <w:keepLines w:val="0"/>
              <w:pageBreakBefore w:val="0"/>
              <w:kinsoku/>
              <w:wordWrap/>
              <w:overflowPunct/>
              <w:topLinePunct w:val="0"/>
              <w:autoSpaceDE w:val="0"/>
              <w:autoSpaceDN/>
              <w:bidi w:val="0"/>
              <w:adjustRightInd/>
              <w:snapToGrid/>
              <w:spacing w:line="400" w:lineRule="exac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5、低于75分，取消该中标人服务资格，终止合同。</w:t>
            </w:r>
          </w:p>
        </w:tc>
      </w:tr>
    </w:tbl>
    <w:p w14:paraId="2E545E3E">
      <w:pPr>
        <w:pStyle w:val="2"/>
        <w:numPr>
          <w:ilvl w:val="0"/>
          <w:numId w:val="0"/>
        </w:numPr>
        <w:spacing w:line="400" w:lineRule="exact"/>
        <w:ind w:left="0" w:leftChars="0" w:firstLine="480" w:firstLineChars="200"/>
        <w:rPr>
          <w:rFonts w:hint="eastAsia" w:ascii="方正仿宋_GBK" w:eastAsia="方正仿宋_GBK"/>
          <w:sz w:val="24"/>
          <w:szCs w:val="24"/>
        </w:rPr>
      </w:pPr>
      <w:bookmarkStart w:id="3" w:name="_Toc119939984"/>
      <w:bookmarkStart w:id="4" w:name="_Toc20367"/>
      <w:bookmarkStart w:id="5" w:name="_Toc8592"/>
      <w:bookmarkStart w:id="6" w:name="_Toc119946555"/>
      <w:bookmarkStart w:id="7" w:name="_Toc21022"/>
      <w:bookmarkStart w:id="8" w:name="_Toc18152"/>
      <w:bookmarkStart w:id="9" w:name="_Toc8979"/>
      <w:bookmarkStart w:id="10" w:name="_Toc22142"/>
      <w:bookmarkStart w:id="11" w:name="_Toc29436"/>
      <w:bookmarkStart w:id="12" w:name="_Toc13418"/>
      <w:bookmarkStart w:id="13" w:name="_Toc30781"/>
      <w:bookmarkStart w:id="14" w:name="_Toc119949639"/>
      <w:bookmarkStart w:id="15" w:name="_Toc28679"/>
      <w:bookmarkStart w:id="16" w:name="_Toc119947270"/>
      <w:bookmarkStart w:id="17" w:name="_Toc1484"/>
      <w:bookmarkStart w:id="18" w:name="_Toc4036"/>
      <w:bookmarkStart w:id="19" w:name="_Toc119947414"/>
      <w:bookmarkStart w:id="20" w:name="_Toc7746"/>
      <w:bookmarkStart w:id="21" w:name="_Toc22158"/>
      <w:bookmarkStart w:id="22" w:name="_Toc75793510"/>
      <w:bookmarkStart w:id="23" w:name="_Toc29144"/>
      <w:bookmarkStart w:id="24" w:name="_Toc18902"/>
      <w:bookmarkStart w:id="25" w:name="_Toc267320050"/>
      <w:r>
        <w:rPr>
          <w:rFonts w:hint="eastAsia" w:ascii="方正仿宋_GBK" w:hAnsi="宋体" w:eastAsia="方正仿宋_GBK" w:cs="宋体"/>
          <w:kern w:val="0"/>
          <w:sz w:val="24"/>
          <w:szCs w:val="24"/>
          <w:lang w:val="en-US" w:eastAsia="zh-CN"/>
        </w:rPr>
        <w:t>※</w:t>
      </w:r>
      <w:r>
        <w:rPr>
          <w:rFonts w:hint="eastAsia" w:ascii="方正仿宋_GBK" w:eastAsia="方正仿宋_GBK" w:cs="宋体"/>
          <w:kern w:val="0"/>
          <w:sz w:val="24"/>
          <w:szCs w:val="24"/>
          <w:lang w:val="en-US" w:eastAsia="zh-CN"/>
        </w:rPr>
        <w:t>四</w:t>
      </w:r>
      <w:r>
        <w:rPr>
          <w:rFonts w:hint="eastAsia" w:ascii="方正仿宋_GBK" w:hAnsi="宋体" w:eastAsia="方正仿宋_GBK"/>
          <w:kern w:val="2"/>
          <w:sz w:val="24"/>
          <w:szCs w:val="24"/>
          <w:lang w:val="en-US" w:eastAsia="zh-CN" w:bidi="ar-SA"/>
        </w:rPr>
        <w:t>、</w:t>
      </w:r>
      <w:r>
        <w:rPr>
          <w:rFonts w:hint="eastAsia" w:ascii="方正仿宋_GBK" w:eastAsia="方正仿宋_GBK"/>
          <w:sz w:val="24"/>
          <w:szCs w:val="24"/>
        </w:rPr>
        <w:t>报价要求</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1A7D6A36">
      <w:pPr>
        <w:snapToGrid w:val="0"/>
        <w:spacing w:line="400" w:lineRule="exact"/>
        <w:ind w:firstLine="480" w:firstLineChars="200"/>
        <w:rPr>
          <w:rFonts w:hint="eastAsia" w:ascii="方正仿宋_GBK" w:hAnsi="宋体" w:eastAsia="方正仿宋_GBK" w:cs="宋体"/>
          <w:kern w:val="0"/>
          <w:sz w:val="24"/>
          <w:szCs w:val="24"/>
        </w:rPr>
      </w:pPr>
      <w:r>
        <w:rPr>
          <w:rFonts w:hint="eastAsia" w:ascii="方正仿宋_GBK" w:hAnsi="宋体" w:eastAsia="方正仿宋_GBK" w:cs="宋体"/>
          <w:kern w:val="0"/>
          <w:sz w:val="24"/>
          <w:szCs w:val="24"/>
        </w:rPr>
        <w:t>本次报价须为人民币报价，报价包括完成本项目所需的全部成本、税费、利润等的总和。因投标人自身原因造成漏报、少报皆由其自行承担责任，采购人不再补偿。</w:t>
      </w:r>
    </w:p>
    <w:p w14:paraId="06F61DCA">
      <w:pPr>
        <w:snapToGrid w:val="0"/>
        <w:spacing w:line="400" w:lineRule="exact"/>
        <w:ind w:firstLine="480" w:firstLineChars="200"/>
        <w:rPr>
          <w:rFonts w:hint="eastAsia" w:ascii="方正仿宋_GBK" w:hAnsi="宋体" w:eastAsia="方正仿宋_GBK" w:cs="宋体"/>
          <w:kern w:val="0"/>
          <w:sz w:val="24"/>
          <w:szCs w:val="24"/>
        </w:rPr>
      </w:pPr>
      <w:r>
        <w:rPr>
          <w:rFonts w:hint="eastAsia" w:ascii="方正仿宋_GBK" w:hAnsi="宋体" w:eastAsia="方正仿宋_GBK" w:cs="宋体"/>
          <w:kern w:val="0"/>
          <w:sz w:val="24"/>
          <w:szCs w:val="24"/>
          <w:lang w:val="en-US" w:eastAsia="zh-CN"/>
        </w:rPr>
        <w:t>注：</w:t>
      </w:r>
      <w:r>
        <w:rPr>
          <w:rFonts w:hint="eastAsia" w:ascii="方正仿宋_GBK" w:hAnsi="宋体" w:eastAsia="方正仿宋_GBK" w:cs="宋体"/>
          <w:kern w:val="0"/>
          <w:sz w:val="24"/>
          <w:szCs w:val="24"/>
        </w:rPr>
        <w:t>本次</w:t>
      </w:r>
      <w:r>
        <w:rPr>
          <w:rFonts w:hint="eastAsia" w:ascii="方正仿宋_GBK" w:hAnsi="宋体" w:eastAsia="方正仿宋_GBK" w:cs="宋体"/>
          <w:kern w:val="0"/>
          <w:sz w:val="24"/>
          <w:szCs w:val="24"/>
          <w:lang w:val="en-US" w:eastAsia="zh-CN"/>
        </w:rPr>
        <w:t>需对</w:t>
      </w:r>
      <w:r>
        <w:rPr>
          <w:rFonts w:hint="eastAsia" w:ascii="方正仿宋_GBK" w:hAnsi="宋体" w:eastAsia="方正仿宋_GBK" w:cs="宋体"/>
          <w:kern w:val="0"/>
          <w:sz w:val="24"/>
          <w:szCs w:val="24"/>
        </w:rPr>
        <w:t>招标项目一览表</w:t>
      </w:r>
      <w:r>
        <w:rPr>
          <w:rFonts w:hint="eastAsia" w:ascii="方正仿宋_GBK" w:hAnsi="宋体" w:eastAsia="方正仿宋_GBK" w:cs="宋体"/>
          <w:kern w:val="0"/>
          <w:sz w:val="24"/>
          <w:szCs w:val="24"/>
          <w:lang w:val="en-US" w:eastAsia="zh-CN"/>
        </w:rPr>
        <w:t>中的</w:t>
      </w:r>
      <w:r>
        <w:rPr>
          <w:rFonts w:hint="eastAsia" w:ascii="方正仿宋_GBK" w:hAnsi="宋体" w:eastAsia="方正仿宋_GBK" w:cs="宋体"/>
          <w:kern w:val="0"/>
          <w:sz w:val="24"/>
          <w:szCs w:val="24"/>
        </w:rPr>
        <w:t>产品报价，报价须为折扣率报价（不得保留百分号前小数）（所有产品均以此下浮比例计算。如供应商所报折扣率99%，某产品清单限定价格为100元，则实际结算价格应为100×99%=99元）；报价为闭口价，即合同履行期间折扣率固定，不允许变动。</w:t>
      </w:r>
    </w:p>
    <w:bookmarkEnd w:id="25"/>
    <w:p w14:paraId="34736939">
      <w:pPr>
        <w:pStyle w:val="2"/>
        <w:numPr>
          <w:ilvl w:val="0"/>
          <w:numId w:val="0"/>
        </w:numPr>
        <w:spacing w:line="400" w:lineRule="exact"/>
        <w:ind w:left="0" w:leftChars="0" w:firstLine="480" w:firstLineChars="200"/>
        <w:rPr>
          <w:rFonts w:hint="eastAsia" w:ascii="方正仿宋_GBK" w:eastAsia="方正仿宋_GBK"/>
          <w:sz w:val="24"/>
          <w:szCs w:val="24"/>
        </w:rPr>
      </w:pPr>
      <w:bookmarkStart w:id="26" w:name="_Toc25932"/>
      <w:bookmarkStart w:id="27" w:name="_Toc119947415"/>
      <w:bookmarkStart w:id="28" w:name="_Toc19350"/>
      <w:bookmarkStart w:id="29" w:name="_Toc13925"/>
      <w:bookmarkStart w:id="30" w:name="_Toc119947271"/>
      <w:bookmarkStart w:id="31" w:name="_Toc267320051"/>
      <w:bookmarkStart w:id="32" w:name="_Toc25745"/>
      <w:bookmarkStart w:id="33" w:name="_Toc24162"/>
      <w:bookmarkStart w:id="34" w:name="_Toc1008"/>
      <w:bookmarkStart w:id="35" w:name="_Toc32722"/>
      <w:bookmarkStart w:id="36" w:name="_Toc75793512"/>
      <w:bookmarkStart w:id="37" w:name="_Toc119946556"/>
      <w:bookmarkStart w:id="38" w:name="_Toc30442"/>
      <w:bookmarkStart w:id="39" w:name="_Toc21888"/>
      <w:bookmarkStart w:id="40" w:name="_Toc119939985"/>
      <w:bookmarkStart w:id="41" w:name="_Toc25552"/>
      <w:bookmarkStart w:id="42" w:name="_Toc22695"/>
      <w:bookmarkStart w:id="43" w:name="_Toc12285"/>
      <w:bookmarkStart w:id="44" w:name="_Toc8955"/>
      <w:bookmarkStart w:id="45" w:name="_Toc5174"/>
      <w:bookmarkStart w:id="46" w:name="_Toc119949640"/>
      <w:bookmarkStart w:id="47" w:name="_Toc29286"/>
      <w:bookmarkStart w:id="48" w:name="_Toc18007"/>
      <w:r>
        <w:rPr>
          <w:rFonts w:hint="eastAsia" w:ascii="方正仿宋_GBK" w:hAnsi="宋体" w:eastAsia="方正仿宋_GBK" w:cs="宋体"/>
          <w:kern w:val="0"/>
          <w:sz w:val="24"/>
          <w:szCs w:val="24"/>
          <w:lang w:val="en-US" w:eastAsia="zh-CN"/>
        </w:rPr>
        <w:t>※</w:t>
      </w:r>
      <w:r>
        <w:rPr>
          <w:rFonts w:hint="eastAsia" w:ascii="方正仿宋_GBK" w:eastAsia="方正仿宋_GBK" w:cs="宋体"/>
          <w:kern w:val="0"/>
          <w:sz w:val="24"/>
          <w:szCs w:val="24"/>
          <w:lang w:val="en-US" w:eastAsia="zh-CN"/>
        </w:rPr>
        <w:t>五</w:t>
      </w:r>
      <w:r>
        <w:rPr>
          <w:rFonts w:hint="eastAsia" w:ascii="方正仿宋_GBK" w:hAnsi="宋体" w:eastAsia="方正仿宋_GBK"/>
          <w:kern w:val="2"/>
          <w:sz w:val="24"/>
          <w:szCs w:val="24"/>
          <w:lang w:val="en-US" w:eastAsia="zh-CN" w:bidi="ar-SA"/>
        </w:rPr>
        <w:t>、</w:t>
      </w:r>
      <w:r>
        <w:rPr>
          <w:rFonts w:hint="eastAsia" w:ascii="方正仿宋_GBK" w:eastAsia="方正仿宋_GBK"/>
          <w:sz w:val="24"/>
          <w:szCs w:val="24"/>
        </w:rPr>
        <w:t>付款方式</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3EDD66AF">
      <w:pPr>
        <w:snapToGrid w:val="0"/>
        <w:spacing w:line="400" w:lineRule="exact"/>
        <w:ind w:firstLine="480"/>
        <w:rPr>
          <w:rFonts w:hint="eastAsia" w:ascii="方正仿宋_GBK" w:hAnsi="宋体" w:eastAsia="方正仿宋_GBK" w:cs="宋体"/>
          <w:color w:val="auto"/>
          <w:kern w:val="0"/>
          <w:sz w:val="24"/>
          <w:szCs w:val="24"/>
        </w:rPr>
      </w:pPr>
      <w:bookmarkStart w:id="49" w:name="_Toc11399"/>
      <w:bookmarkStart w:id="50" w:name="_Toc75793513"/>
      <w:bookmarkStart w:id="51" w:name="_Toc9213"/>
      <w:bookmarkStart w:id="52" w:name="_Toc11060"/>
      <w:bookmarkStart w:id="53" w:name="_Toc27144"/>
      <w:bookmarkStart w:id="54" w:name="_Toc267320052"/>
      <w:bookmarkStart w:id="55" w:name="_Toc4897"/>
      <w:bookmarkStart w:id="56" w:name="_Toc18959"/>
      <w:bookmarkStart w:id="57" w:name="_Toc25410"/>
      <w:bookmarkStart w:id="58" w:name="_Toc10105"/>
      <w:bookmarkStart w:id="59" w:name="_Toc22431"/>
      <w:bookmarkStart w:id="60" w:name="_Toc28056"/>
      <w:bookmarkStart w:id="61" w:name="_Toc4339"/>
      <w:bookmarkStart w:id="62" w:name="_Toc3311"/>
      <w:bookmarkStart w:id="63" w:name="_Toc20369"/>
      <w:bookmarkStart w:id="64" w:name="_Toc3565"/>
      <w:bookmarkStart w:id="65" w:name="_Toc119939986"/>
      <w:bookmarkStart w:id="66" w:name="_Toc119947416"/>
      <w:bookmarkStart w:id="67" w:name="_Toc119946557"/>
      <w:bookmarkStart w:id="68" w:name="_Toc119949641"/>
      <w:bookmarkStart w:id="69" w:name="_Toc119947272"/>
      <w:r>
        <w:rPr>
          <w:rFonts w:hint="eastAsia" w:ascii="方正仿宋_GBK" w:hAnsi="宋体" w:eastAsia="方正仿宋_GBK" w:cs="宋体"/>
          <w:color w:val="auto"/>
          <w:kern w:val="0"/>
          <w:sz w:val="24"/>
          <w:szCs w:val="24"/>
        </w:rPr>
        <w:t>1.批次到货，验收合格后据实结算；</w:t>
      </w:r>
    </w:p>
    <w:p w14:paraId="2A0F2180">
      <w:pPr>
        <w:snapToGrid w:val="0"/>
        <w:spacing w:line="400" w:lineRule="exact"/>
        <w:ind w:firstLine="480"/>
        <w:rPr>
          <w:rFonts w:hint="eastAsia" w:ascii="方正仿宋_GBK" w:hAnsi="宋体" w:eastAsia="方正仿宋_GBK" w:cs="宋体"/>
          <w:color w:val="auto"/>
          <w:kern w:val="0"/>
          <w:sz w:val="24"/>
          <w:szCs w:val="24"/>
        </w:rPr>
      </w:pPr>
      <w:r>
        <w:rPr>
          <w:rFonts w:hint="eastAsia" w:ascii="方正仿宋_GBK" w:hAnsi="宋体" w:eastAsia="方正仿宋_GBK" w:cs="宋体"/>
          <w:color w:val="auto"/>
          <w:kern w:val="0"/>
          <w:sz w:val="24"/>
          <w:szCs w:val="24"/>
        </w:rPr>
        <w:t>2.每批次供货结算价=单价限价*中标人折扣系数*实际供货数量（须提供中标人和采购人共同签字确认的验收记录单据）；</w:t>
      </w:r>
    </w:p>
    <w:p w14:paraId="01C96965">
      <w:pPr>
        <w:snapToGrid w:val="0"/>
        <w:spacing w:line="400" w:lineRule="exact"/>
        <w:ind w:firstLine="480"/>
        <w:rPr>
          <w:rFonts w:hint="eastAsia" w:ascii="方正仿宋_GBK" w:hAnsi="宋体" w:eastAsia="方正仿宋_GBK" w:cs="宋体"/>
          <w:color w:val="auto"/>
          <w:kern w:val="0"/>
          <w:sz w:val="24"/>
          <w:szCs w:val="24"/>
        </w:rPr>
      </w:pPr>
      <w:r>
        <w:rPr>
          <w:rFonts w:hint="eastAsia" w:ascii="方正仿宋_GBK" w:hAnsi="宋体" w:eastAsia="方正仿宋_GBK" w:cs="宋体"/>
          <w:color w:val="auto"/>
          <w:kern w:val="0"/>
          <w:sz w:val="24"/>
          <w:szCs w:val="24"/>
        </w:rPr>
        <w:t>4.中标人配送后经采购人确认并验收合格后，中标人提交合法有效的当月度供应的物料货款的发票，采购人收到发票并确认后次月支付货款。</w:t>
      </w:r>
    </w:p>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14:paraId="6AE06DFE">
      <w:pPr>
        <w:pStyle w:val="2"/>
        <w:numPr>
          <w:ilvl w:val="0"/>
          <w:numId w:val="0"/>
        </w:numPr>
        <w:spacing w:line="400" w:lineRule="exact"/>
        <w:ind w:left="0" w:leftChars="0" w:firstLine="480" w:firstLineChars="200"/>
        <w:rPr>
          <w:rFonts w:hint="eastAsia" w:ascii="方正仿宋_GBK" w:eastAsia="方正仿宋_GBK"/>
          <w:sz w:val="24"/>
          <w:szCs w:val="24"/>
        </w:rPr>
      </w:pPr>
      <w:bookmarkStart w:id="70" w:name="_Toc1138"/>
      <w:bookmarkStart w:id="71" w:name="_Toc28513"/>
      <w:bookmarkStart w:id="72" w:name="_Toc23858"/>
      <w:bookmarkStart w:id="73" w:name="_Toc1771"/>
      <w:bookmarkStart w:id="74" w:name="_Toc28699"/>
      <w:bookmarkStart w:id="75" w:name="_Toc6099"/>
      <w:bookmarkStart w:id="76" w:name="_Toc4353"/>
      <w:bookmarkStart w:id="77" w:name="_Toc17569"/>
      <w:bookmarkStart w:id="78" w:name="_Toc13936"/>
      <w:bookmarkStart w:id="79" w:name="_Toc529"/>
      <w:bookmarkStart w:id="80" w:name="_Toc6385"/>
      <w:bookmarkStart w:id="81" w:name="_Toc75793516"/>
      <w:bookmarkStart w:id="82" w:name="_Toc32308"/>
      <w:bookmarkStart w:id="83" w:name="_Toc30515"/>
      <w:bookmarkStart w:id="84" w:name="_Toc10406"/>
      <w:bookmarkStart w:id="85" w:name="_Toc27175"/>
      <w:bookmarkStart w:id="86" w:name="_Toc14923"/>
      <w:r>
        <w:rPr>
          <w:rFonts w:hint="eastAsia" w:ascii="方正仿宋_GBK" w:hAnsi="宋体" w:eastAsia="方正仿宋_GBK" w:cs="宋体"/>
          <w:kern w:val="0"/>
          <w:sz w:val="24"/>
          <w:szCs w:val="24"/>
          <w:lang w:val="en-US" w:eastAsia="zh-CN"/>
        </w:rPr>
        <w:t>※</w:t>
      </w:r>
      <w:r>
        <w:rPr>
          <w:rFonts w:hint="eastAsia" w:ascii="方正仿宋_GBK" w:eastAsia="方正仿宋_GBK" w:cs="宋体"/>
          <w:kern w:val="0"/>
          <w:sz w:val="24"/>
          <w:szCs w:val="24"/>
          <w:lang w:val="en-US" w:eastAsia="zh-CN"/>
        </w:rPr>
        <w:t>六</w:t>
      </w:r>
      <w:r>
        <w:rPr>
          <w:rFonts w:hint="eastAsia" w:ascii="方正仿宋_GBK" w:hAnsi="宋体" w:eastAsia="方正仿宋_GBK"/>
          <w:kern w:val="2"/>
          <w:sz w:val="24"/>
          <w:szCs w:val="24"/>
          <w:lang w:val="en-US" w:eastAsia="zh-CN" w:bidi="ar-SA"/>
        </w:rPr>
        <w:t>、</w:t>
      </w:r>
      <w:r>
        <w:rPr>
          <w:rFonts w:hint="eastAsia" w:ascii="方正仿宋_GBK" w:eastAsia="方正仿宋_GBK"/>
          <w:sz w:val="24"/>
          <w:szCs w:val="24"/>
        </w:rPr>
        <w:t>其他商务要求内容</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14:paraId="289BBDDD">
      <w:pPr>
        <w:spacing w:line="400" w:lineRule="exact"/>
        <w:ind w:firstLine="480" w:firstLineChars="200"/>
        <w:rPr>
          <w:rFonts w:hint="eastAsia" w:ascii="方正仿宋_GBK" w:hAnsi="宋体" w:eastAsia="方正仿宋_GBK"/>
          <w:color w:val="auto"/>
          <w:sz w:val="24"/>
          <w:szCs w:val="28"/>
        </w:rPr>
      </w:pPr>
      <w:r>
        <w:rPr>
          <w:rFonts w:hint="eastAsia" w:ascii="方正仿宋_GBK" w:hAnsi="宋体" w:eastAsia="方正仿宋_GBK"/>
          <w:color w:val="auto"/>
          <w:sz w:val="24"/>
          <w:szCs w:val="28"/>
        </w:rPr>
        <w:t>（一）产品质量保证期</w:t>
      </w:r>
    </w:p>
    <w:p w14:paraId="0FC28794">
      <w:pPr>
        <w:spacing w:line="400" w:lineRule="exact"/>
        <w:ind w:firstLine="480" w:firstLineChars="200"/>
        <w:rPr>
          <w:rFonts w:hint="eastAsia" w:ascii="方正仿宋_GBK" w:hAnsi="宋体" w:eastAsia="方正仿宋_GBK"/>
          <w:color w:val="auto"/>
          <w:sz w:val="24"/>
          <w:szCs w:val="28"/>
        </w:rPr>
      </w:pPr>
      <w:r>
        <w:rPr>
          <w:rFonts w:hint="eastAsia" w:ascii="方正仿宋_GBK" w:hAnsi="宋体" w:eastAsia="方正仿宋_GBK"/>
          <w:color w:val="auto"/>
          <w:sz w:val="24"/>
          <w:szCs w:val="28"/>
        </w:rPr>
        <w:t>1.中标人提供的所有产品质量保证期不低1年，供应商供应的产品生产时间不超过4个月。</w:t>
      </w:r>
    </w:p>
    <w:p w14:paraId="7C1E4149">
      <w:pPr>
        <w:spacing w:line="400" w:lineRule="exact"/>
        <w:ind w:firstLine="480" w:firstLineChars="200"/>
        <w:rPr>
          <w:rFonts w:hint="eastAsia" w:ascii="方正仿宋_GBK" w:hAnsi="宋体" w:eastAsia="方正仿宋_GBK"/>
          <w:color w:val="auto"/>
          <w:sz w:val="24"/>
          <w:szCs w:val="28"/>
        </w:rPr>
      </w:pPr>
      <w:r>
        <w:rPr>
          <w:rFonts w:hint="eastAsia" w:ascii="方正仿宋_GBK" w:hAnsi="宋体" w:eastAsia="方正仿宋_GBK"/>
          <w:color w:val="auto"/>
          <w:sz w:val="24"/>
          <w:szCs w:val="28"/>
        </w:rPr>
        <w:t>2.中标人须具备良好的储存及运输条件，并根据国家法律法规的规定以及行业标准等要求进行储存与运输。若有冷链需求的产品在库存及运输途中必需严格按照相关标准执行。</w:t>
      </w:r>
    </w:p>
    <w:p w14:paraId="045A1400">
      <w:pPr>
        <w:spacing w:line="400" w:lineRule="exact"/>
        <w:ind w:firstLine="480" w:firstLineChars="200"/>
        <w:rPr>
          <w:rFonts w:hint="eastAsia" w:ascii="方正仿宋_GBK" w:hAnsi="宋体" w:eastAsia="方正仿宋_GBK"/>
          <w:color w:val="auto"/>
          <w:sz w:val="24"/>
          <w:szCs w:val="28"/>
        </w:rPr>
      </w:pPr>
      <w:r>
        <w:rPr>
          <w:rFonts w:hint="eastAsia" w:ascii="方正仿宋_GBK" w:hAnsi="宋体" w:eastAsia="方正仿宋_GBK"/>
          <w:color w:val="auto"/>
          <w:sz w:val="24"/>
          <w:szCs w:val="28"/>
        </w:rPr>
        <w:t>3.采购货物属于国家规定“三包”范围的，其产品质量保证期不得低于“三包”规定。</w:t>
      </w:r>
    </w:p>
    <w:p w14:paraId="58DA6D3D">
      <w:pPr>
        <w:spacing w:line="400" w:lineRule="exact"/>
        <w:ind w:firstLine="480" w:firstLineChars="200"/>
        <w:rPr>
          <w:rFonts w:hint="eastAsia" w:ascii="方正仿宋_GBK" w:hAnsi="宋体" w:eastAsia="方正仿宋_GBK"/>
          <w:color w:val="auto"/>
          <w:sz w:val="24"/>
          <w:szCs w:val="28"/>
        </w:rPr>
      </w:pPr>
      <w:r>
        <w:rPr>
          <w:rFonts w:hint="eastAsia" w:ascii="方正仿宋_GBK" w:hAnsi="宋体" w:eastAsia="方正仿宋_GBK"/>
          <w:color w:val="auto"/>
          <w:sz w:val="24"/>
          <w:szCs w:val="28"/>
        </w:rPr>
        <w:t>4.在产品使用过程中采购人有权对中标人所提供产品随机进行抽样送检，送检的检验样品费用和检测费用由中标人支付。</w:t>
      </w:r>
    </w:p>
    <w:p w14:paraId="721EA6F2">
      <w:pPr>
        <w:spacing w:line="400" w:lineRule="exact"/>
        <w:ind w:firstLine="480" w:firstLineChars="200"/>
        <w:rPr>
          <w:rFonts w:hint="eastAsia" w:ascii="方正仿宋_GBK" w:hAnsi="宋体" w:eastAsia="方正仿宋_GBK"/>
          <w:color w:val="auto"/>
          <w:sz w:val="24"/>
          <w:szCs w:val="28"/>
        </w:rPr>
      </w:pPr>
      <w:r>
        <w:rPr>
          <w:rFonts w:hint="eastAsia" w:ascii="方正仿宋_GBK" w:hAnsi="宋体" w:eastAsia="方正仿宋_GBK"/>
          <w:color w:val="auto"/>
          <w:sz w:val="24"/>
          <w:szCs w:val="28"/>
        </w:rPr>
        <w:t>5.随货附有同批次产品出厂检验合格报告或合格证明文件，货票一致。</w:t>
      </w:r>
    </w:p>
    <w:p w14:paraId="04176605">
      <w:pPr>
        <w:spacing w:line="400" w:lineRule="exact"/>
        <w:ind w:firstLine="480" w:firstLineChars="200"/>
        <w:rPr>
          <w:rFonts w:hint="eastAsia" w:ascii="方正仿宋_GBK" w:hAnsi="宋体" w:eastAsia="方正仿宋_GBK"/>
          <w:color w:val="auto"/>
          <w:sz w:val="24"/>
          <w:szCs w:val="28"/>
        </w:rPr>
      </w:pPr>
      <w:r>
        <w:rPr>
          <w:rFonts w:hint="eastAsia" w:ascii="方正仿宋_GBK" w:hAnsi="宋体" w:eastAsia="方正仿宋_GBK"/>
          <w:color w:val="auto"/>
          <w:sz w:val="24"/>
          <w:szCs w:val="28"/>
        </w:rPr>
        <w:t>（二）售后服务内容</w:t>
      </w:r>
    </w:p>
    <w:p w14:paraId="38BB6F76">
      <w:pPr>
        <w:spacing w:line="400" w:lineRule="exact"/>
        <w:ind w:firstLine="480" w:firstLineChars="200"/>
        <w:rPr>
          <w:rFonts w:hint="eastAsia" w:ascii="方正仿宋_GBK" w:hAnsi="宋体" w:eastAsia="方正仿宋_GBK"/>
          <w:color w:val="auto"/>
          <w:sz w:val="24"/>
          <w:szCs w:val="28"/>
        </w:rPr>
      </w:pPr>
      <w:r>
        <w:rPr>
          <w:rFonts w:hint="eastAsia" w:ascii="方正仿宋_GBK" w:hAnsi="宋体" w:eastAsia="方正仿宋_GBK"/>
          <w:color w:val="auto"/>
          <w:sz w:val="24"/>
          <w:szCs w:val="28"/>
        </w:rPr>
        <w:t>中标人和厂家在质量保证期内应当为采购人提供以下技术支持服务：</w:t>
      </w:r>
    </w:p>
    <w:p w14:paraId="575D382C">
      <w:pPr>
        <w:spacing w:line="400" w:lineRule="exact"/>
        <w:ind w:firstLine="480" w:firstLineChars="200"/>
        <w:rPr>
          <w:rFonts w:hint="eastAsia" w:ascii="方正仿宋_GBK" w:hAnsi="宋体" w:eastAsia="方正仿宋_GBK"/>
          <w:color w:val="auto"/>
          <w:sz w:val="24"/>
          <w:szCs w:val="28"/>
        </w:rPr>
      </w:pPr>
      <w:r>
        <w:rPr>
          <w:rFonts w:hint="eastAsia" w:ascii="方正仿宋_GBK" w:hAnsi="宋体" w:eastAsia="方正仿宋_GBK"/>
          <w:color w:val="auto"/>
          <w:sz w:val="24"/>
          <w:szCs w:val="28"/>
        </w:rPr>
        <w:t>1.为了采购人临床业务正常开展，所有产品都需提供备品。</w:t>
      </w:r>
    </w:p>
    <w:p w14:paraId="31BA6D82">
      <w:pPr>
        <w:spacing w:line="400" w:lineRule="exact"/>
        <w:ind w:firstLine="480" w:firstLineChars="200"/>
        <w:rPr>
          <w:rFonts w:hint="eastAsia" w:ascii="方正仿宋_GBK" w:hAnsi="宋体" w:eastAsia="方正仿宋_GBK"/>
          <w:color w:val="auto"/>
          <w:sz w:val="24"/>
          <w:szCs w:val="28"/>
        </w:rPr>
      </w:pPr>
      <w:r>
        <w:rPr>
          <w:rFonts w:hint="eastAsia" w:ascii="方正仿宋_GBK" w:hAnsi="宋体" w:eastAsia="方正仿宋_GBK"/>
          <w:color w:val="auto"/>
          <w:sz w:val="24"/>
          <w:szCs w:val="28"/>
        </w:rPr>
        <w:t>2.质量保证期内服务要求</w:t>
      </w:r>
    </w:p>
    <w:p w14:paraId="460384DC">
      <w:pPr>
        <w:spacing w:line="400" w:lineRule="exact"/>
        <w:ind w:firstLine="480" w:firstLineChars="200"/>
        <w:rPr>
          <w:rFonts w:hint="eastAsia" w:ascii="方正仿宋_GBK" w:hAnsi="宋体" w:eastAsia="方正仿宋_GBK"/>
          <w:color w:val="auto"/>
          <w:sz w:val="24"/>
          <w:szCs w:val="28"/>
        </w:rPr>
      </w:pPr>
      <w:r>
        <w:rPr>
          <w:rFonts w:hint="eastAsia" w:ascii="方正仿宋_GBK" w:hAnsi="宋体" w:eastAsia="方正仿宋_GBK"/>
          <w:color w:val="auto"/>
          <w:sz w:val="24"/>
          <w:szCs w:val="28"/>
        </w:rPr>
        <w:t>2.1电话咨询</w:t>
      </w:r>
    </w:p>
    <w:p w14:paraId="1363325D">
      <w:pPr>
        <w:spacing w:line="400" w:lineRule="exact"/>
        <w:ind w:firstLine="480" w:firstLineChars="200"/>
        <w:rPr>
          <w:rFonts w:hint="eastAsia" w:ascii="方正仿宋_GBK" w:hAnsi="宋体" w:eastAsia="方正仿宋_GBK"/>
          <w:color w:val="auto"/>
          <w:sz w:val="24"/>
          <w:szCs w:val="28"/>
        </w:rPr>
      </w:pPr>
      <w:r>
        <w:rPr>
          <w:rFonts w:hint="eastAsia" w:ascii="方正仿宋_GBK" w:hAnsi="宋体" w:eastAsia="方正仿宋_GBK"/>
          <w:color w:val="auto"/>
          <w:sz w:val="24"/>
          <w:szCs w:val="28"/>
        </w:rPr>
        <w:t>中标人和生产厂家应当为用户提供技术援助电话，解答用户在使用中遇到的问题，及时为用户提出解决问题的建议。</w:t>
      </w:r>
    </w:p>
    <w:p w14:paraId="23007770">
      <w:pPr>
        <w:spacing w:line="400" w:lineRule="exact"/>
        <w:ind w:firstLine="480" w:firstLineChars="200"/>
        <w:rPr>
          <w:rFonts w:hint="eastAsia" w:ascii="方正仿宋_GBK" w:hAnsi="宋体" w:eastAsia="方正仿宋_GBK"/>
          <w:color w:val="auto"/>
          <w:sz w:val="24"/>
          <w:szCs w:val="28"/>
        </w:rPr>
      </w:pPr>
      <w:r>
        <w:rPr>
          <w:rFonts w:hint="eastAsia" w:ascii="方正仿宋_GBK" w:hAnsi="宋体" w:eastAsia="方正仿宋_GBK"/>
          <w:color w:val="auto"/>
          <w:sz w:val="24"/>
          <w:szCs w:val="28"/>
        </w:rPr>
        <w:t>2.2现场响应</w:t>
      </w:r>
    </w:p>
    <w:p w14:paraId="76A31910">
      <w:pPr>
        <w:spacing w:line="400" w:lineRule="exact"/>
        <w:ind w:firstLine="480" w:firstLineChars="200"/>
        <w:rPr>
          <w:rFonts w:hint="eastAsia" w:ascii="方正仿宋_GBK" w:hAnsi="宋体" w:eastAsia="方正仿宋_GBK"/>
          <w:color w:val="auto"/>
          <w:sz w:val="24"/>
          <w:szCs w:val="28"/>
        </w:rPr>
      </w:pPr>
      <w:r>
        <w:rPr>
          <w:rFonts w:hint="eastAsia" w:ascii="方正仿宋_GBK" w:hAnsi="宋体" w:eastAsia="方正仿宋_GBK"/>
          <w:color w:val="auto"/>
          <w:sz w:val="24"/>
          <w:szCs w:val="28"/>
        </w:rPr>
        <w:t>质保期内接到使用方产品出现问题的通知后，电话咨询不能解决的，需中标人到现场提供技术支持的，必须保证</w:t>
      </w:r>
      <w:r>
        <w:rPr>
          <w:rFonts w:hint="eastAsia" w:ascii="方正仿宋_GBK" w:hAnsi="宋体" w:eastAsia="方正仿宋_GBK"/>
          <w:color w:val="auto"/>
          <w:sz w:val="24"/>
          <w:szCs w:val="28"/>
          <w:lang w:val="en-US" w:eastAsia="zh-CN"/>
        </w:rPr>
        <w:t>48</w:t>
      </w:r>
      <w:r>
        <w:rPr>
          <w:rFonts w:hint="eastAsia" w:ascii="方正仿宋_GBK" w:hAnsi="宋体" w:eastAsia="方正仿宋_GBK"/>
          <w:color w:val="auto"/>
          <w:sz w:val="24"/>
          <w:szCs w:val="28"/>
        </w:rPr>
        <w:t>小时内到达采购人现场。</w:t>
      </w:r>
    </w:p>
    <w:p w14:paraId="6A08F9C2">
      <w:pPr>
        <w:spacing w:line="400" w:lineRule="exact"/>
        <w:ind w:firstLine="480" w:firstLineChars="200"/>
        <w:rPr>
          <w:rFonts w:hint="eastAsia" w:ascii="方正仿宋_GBK" w:hAnsi="宋体" w:eastAsia="方正仿宋_GBK"/>
          <w:color w:val="auto"/>
          <w:sz w:val="24"/>
          <w:szCs w:val="28"/>
        </w:rPr>
      </w:pPr>
      <w:r>
        <w:rPr>
          <w:rFonts w:hint="eastAsia" w:ascii="方正仿宋_GBK" w:hAnsi="宋体" w:eastAsia="方正仿宋_GBK"/>
          <w:color w:val="auto"/>
          <w:sz w:val="24"/>
          <w:szCs w:val="28"/>
        </w:rPr>
        <w:t>2.采购人若有库存要求退货时，在产品有效期内，投标人须无条件同意退货。</w:t>
      </w:r>
    </w:p>
    <w:p w14:paraId="5F22F12C">
      <w:pPr>
        <w:spacing w:line="400" w:lineRule="exact"/>
        <w:ind w:firstLine="480" w:firstLineChars="200"/>
        <w:rPr>
          <w:rFonts w:hint="eastAsia" w:ascii="方正仿宋_GBK" w:hAnsi="宋体" w:eastAsia="方正仿宋_GBK"/>
          <w:color w:val="auto"/>
          <w:sz w:val="24"/>
          <w:szCs w:val="28"/>
        </w:rPr>
      </w:pPr>
      <w:r>
        <w:rPr>
          <w:rFonts w:hint="eastAsia" w:ascii="方正仿宋_GBK" w:hAnsi="宋体" w:eastAsia="方正仿宋_GBK"/>
          <w:color w:val="auto"/>
          <w:sz w:val="24"/>
          <w:szCs w:val="28"/>
        </w:rPr>
        <w:t>（三）配送要求</w:t>
      </w:r>
    </w:p>
    <w:p w14:paraId="68072F3E">
      <w:pPr>
        <w:spacing w:line="400" w:lineRule="exact"/>
        <w:ind w:firstLine="480" w:firstLineChars="200"/>
        <w:rPr>
          <w:rFonts w:hint="eastAsia" w:ascii="方正仿宋_GBK" w:hAnsi="宋体" w:eastAsia="方正仿宋_GBK"/>
          <w:color w:val="auto"/>
          <w:sz w:val="24"/>
          <w:szCs w:val="28"/>
        </w:rPr>
      </w:pPr>
      <w:r>
        <w:rPr>
          <w:rFonts w:hint="eastAsia" w:ascii="方正仿宋_GBK" w:hAnsi="宋体" w:eastAsia="方正仿宋_GBK"/>
          <w:color w:val="auto"/>
          <w:sz w:val="24"/>
          <w:szCs w:val="28"/>
        </w:rPr>
        <w:t>1.对质量有异议的营养制剂招标产品必须无条件换货，并按采购人要求更换符合质量标准的食品，对数量不足的营养制剂产品要按时补足。对原料规格市场确实缺货的，经采购人研究同意后，可临时调整配送规格，价格按实际情况浮动。</w:t>
      </w:r>
    </w:p>
    <w:p w14:paraId="5C01F127">
      <w:pPr>
        <w:spacing w:line="400" w:lineRule="exact"/>
        <w:ind w:firstLine="480" w:firstLineChars="200"/>
        <w:rPr>
          <w:rFonts w:hint="eastAsia" w:ascii="方正仿宋_GBK" w:hAnsi="宋体" w:eastAsia="方正仿宋_GBK"/>
          <w:color w:val="auto"/>
          <w:sz w:val="24"/>
          <w:szCs w:val="28"/>
        </w:rPr>
      </w:pPr>
      <w:r>
        <w:rPr>
          <w:rFonts w:hint="eastAsia" w:ascii="方正仿宋_GBK" w:hAnsi="宋体" w:eastAsia="方正仿宋_GBK"/>
          <w:color w:val="auto"/>
          <w:sz w:val="24"/>
          <w:szCs w:val="28"/>
        </w:rPr>
        <w:t>2.如供应商提供的产品与招标、合同约定规格、参数不符，采购人有权拒收，供应商应在24小时内重新向采购人提供合格产品，保障临床正常运转，因此产生的一切经济损失由供应商承担。供应商在24小时内未能及时提供，采购人有权向第三方公司进行采购，发票由供应商出具。</w:t>
      </w:r>
    </w:p>
    <w:p w14:paraId="5D710813">
      <w:pPr>
        <w:spacing w:line="400" w:lineRule="exact"/>
        <w:ind w:firstLine="480" w:firstLineChars="200"/>
        <w:rPr>
          <w:rFonts w:hint="eastAsia" w:ascii="方正仿宋_GBK" w:hAnsi="宋体" w:eastAsia="方正仿宋_GBK"/>
          <w:color w:val="auto"/>
          <w:sz w:val="24"/>
          <w:szCs w:val="28"/>
        </w:rPr>
      </w:pPr>
      <w:r>
        <w:rPr>
          <w:rFonts w:hint="eastAsia" w:ascii="方正仿宋_GBK" w:hAnsi="宋体" w:eastAsia="方正仿宋_GBK"/>
          <w:color w:val="auto"/>
          <w:sz w:val="24"/>
          <w:szCs w:val="28"/>
        </w:rPr>
        <w:t>3.投标人提供符合品相及规格要求的货物，必须是经过质量监督管理部门检验并取得合格证明的产品，每批次产品提供时应交存货物质量合格证明等。</w:t>
      </w:r>
    </w:p>
    <w:p w14:paraId="4F786BDC">
      <w:pPr>
        <w:spacing w:line="400" w:lineRule="exact"/>
        <w:ind w:firstLine="480" w:firstLineChars="200"/>
        <w:rPr>
          <w:rFonts w:hint="eastAsia" w:ascii="方正仿宋_GBK" w:hAnsi="宋体" w:eastAsia="方正仿宋_GBK"/>
          <w:color w:val="auto"/>
          <w:sz w:val="24"/>
          <w:szCs w:val="28"/>
        </w:rPr>
      </w:pPr>
      <w:r>
        <w:rPr>
          <w:rFonts w:hint="eastAsia" w:ascii="方正仿宋_GBK" w:hAnsi="宋体" w:eastAsia="方正仿宋_GBK"/>
          <w:color w:val="auto"/>
          <w:sz w:val="24"/>
          <w:szCs w:val="28"/>
        </w:rPr>
        <w:t>3.营养制剂在验收时若发生种类遗漏、斤两短缺，与实际清单送货数量不符，采购人有权拒收，累计发现3次及以上，甲方有权单方面解除合同且不支付任何补偿（赔偿）。若影响甲方的临床营养治疗工作但尚未造成严重后果的，甲方有权单方面解除合同且不支付任何补偿（赔偿）。</w:t>
      </w:r>
    </w:p>
    <w:p w14:paraId="7B32C0B1">
      <w:pPr>
        <w:spacing w:line="400" w:lineRule="exact"/>
        <w:ind w:firstLine="480" w:firstLineChars="200"/>
        <w:rPr>
          <w:rFonts w:hint="eastAsia" w:ascii="方正仿宋_GBK" w:hAnsi="宋体" w:eastAsia="方正仿宋_GBK"/>
          <w:color w:val="auto"/>
          <w:sz w:val="24"/>
          <w:szCs w:val="28"/>
        </w:rPr>
      </w:pPr>
      <w:r>
        <w:rPr>
          <w:rFonts w:hint="eastAsia" w:ascii="方正仿宋_GBK" w:hAnsi="宋体" w:eastAsia="方正仿宋_GBK"/>
          <w:color w:val="auto"/>
          <w:sz w:val="24"/>
          <w:szCs w:val="28"/>
        </w:rPr>
        <w:t>4.投标人应保证及时提供合格安全的产品。一旦发现伪劣假冒产品，经相关部门质量监测认证后，由投标人承担一切法律责任。采购人有权单方解除合同并要求配送公司赔偿所造成的所有损失。</w:t>
      </w:r>
    </w:p>
    <w:p w14:paraId="0C2F06C8">
      <w:pPr>
        <w:spacing w:line="400" w:lineRule="exact"/>
        <w:ind w:firstLine="480" w:firstLineChars="200"/>
        <w:rPr>
          <w:rFonts w:hint="eastAsia" w:ascii="方正仿宋_GBK" w:hAnsi="宋体" w:eastAsia="方正仿宋_GBK"/>
          <w:color w:val="auto"/>
          <w:sz w:val="24"/>
          <w:szCs w:val="28"/>
        </w:rPr>
      </w:pPr>
      <w:r>
        <w:rPr>
          <w:rFonts w:hint="eastAsia" w:ascii="方正仿宋_GBK" w:hAnsi="宋体" w:eastAsia="方正仿宋_GBK"/>
          <w:color w:val="auto"/>
          <w:sz w:val="24"/>
          <w:szCs w:val="28"/>
        </w:rPr>
        <w:t>5.乙方与甲方根据临床营养科需求确认产品类型、进货数量、质量问题等，禁止擅自与甲方营养制剂有需求临床科室私下确认及介绍营养制剂产品类型、价格、质量等一系列活动，禁止未经主管职能科室及临床营养科确认私自与临床科室进行产品介绍、推销等一系列活动;如发生上述情况，甲方有权不进行入库或退货，甲方有权单方面解除合同且不支付任何补偿（赔偿）。</w:t>
      </w:r>
    </w:p>
    <w:p w14:paraId="46E4AE6F">
      <w:pPr>
        <w:spacing w:line="400" w:lineRule="exact"/>
        <w:ind w:firstLine="480" w:firstLineChars="200"/>
        <w:rPr>
          <w:rFonts w:hint="eastAsia" w:ascii="方正仿宋_GBK" w:hAnsi="宋体" w:eastAsia="方正仿宋_GBK"/>
          <w:color w:val="auto"/>
          <w:sz w:val="24"/>
          <w:szCs w:val="28"/>
        </w:rPr>
      </w:pPr>
      <w:r>
        <w:rPr>
          <w:rFonts w:hint="eastAsia" w:ascii="方正仿宋_GBK" w:hAnsi="宋体" w:eastAsia="方正仿宋_GBK"/>
          <w:color w:val="auto"/>
          <w:sz w:val="24"/>
          <w:szCs w:val="28"/>
        </w:rPr>
        <w:t>6.乙方完成供货后，严禁乙方将供货产品直接运送至甲方需求临床科室（临床营养科除外）。</w:t>
      </w:r>
    </w:p>
    <w:p w14:paraId="772FE179">
      <w:pPr>
        <w:spacing w:line="400" w:lineRule="exact"/>
        <w:ind w:firstLine="480" w:firstLineChars="200"/>
        <w:rPr>
          <w:rFonts w:hint="eastAsia" w:ascii="方正仿宋_GBK" w:hAnsi="宋体" w:eastAsia="方正仿宋_GBK"/>
          <w:color w:val="FF0000"/>
          <w:sz w:val="24"/>
          <w:szCs w:val="28"/>
        </w:rPr>
      </w:pPr>
      <w:r>
        <w:rPr>
          <w:rFonts w:hint="eastAsia" w:ascii="方正仿宋_GBK" w:hAnsi="宋体" w:eastAsia="方正仿宋_GBK"/>
          <w:color w:val="auto"/>
          <w:sz w:val="24"/>
          <w:szCs w:val="28"/>
        </w:rPr>
        <w:t>7.甲方有进货要求时，乙方不得以量少、运费贵、包装变更、价格变动、中标价格低等理由拒绝供货或趁机提价，发生1次甲方有权解除合同</w:t>
      </w:r>
      <w:r>
        <w:rPr>
          <w:rFonts w:hint="eastAsia" w:ascii="方正仿宋_GBK" w:hAnsi="宋体" w:eastAsia="方正仿宋_GBK"/>
          <w:color w:val="auto"/>
          <w:sz w:val="24"/>
          <w:szCs w:val="28"/>
          <w:lang w:eastAsia="zh-CN"/>
        </w:rPr>
        <w:t>。</w:t>
      </w:r>
    </w:p>
    <w:p w14:paraId="016B0138">
      <w:pPr>
        <w:spacing w:line="400" w:lineRule="exact"/>
        <w:ind w:firstLine="480" w:firstLineChars="200"/>
        <w:rPr>
          <w:rFonts w:hint="eastAsia" w:ascii="方正仿宋_GBK" w:hAnsi="宋体" w:eastAsia="方正仿宋_GBK"/>
          <w:color w:val="auto"/>
          <w:sz w:val="24"/>
          <w:szCs w:val="28"/>
          <w:lang w:val="en-US" w:eastAsia="zh-CN"/>
        </w:rPr>
      </w:pPr>
      <w:r>
        <w:rPr>
          <w:rFonts w:hint="eastAsia" w:ascii="方正仿宋_GBK" w:hAnsi="宋体" w:eastAsia="方正仿宋_GBK"/>
          <w:color w:val="auto"/>
          <w:sz w:val="24"/>
          <w:szCs w:val="28"/>
          <w:lang w:val="en-US" w:eastAsia="zh-CN"/>
        </w:rPr>
        <w:t>七、评分标准</w:t>
      </w:r>
    </w:p>
    <w:tbl>
      <w:tblPr>
        <w:tblStyle w:val="5"/>
        <w:tblW w:w="47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1"/>
        <w:gridCol w:w="1070"/>
        <w:gridCol w:w="477"/>
        <w:gridCol w:w="3426"/>
        <w:gridCol w:w="2623"/>
      </w:tblGrid>
      <w:tr w14:paraId="41DF8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 w:type="pct"/>
            <w:noWrap w:val="0"/>
            <w:vAlign w:val="center"/>
          </w:tcPr>
          <w:p w14:paraId="232E6788">
            <w:pPr>
              <w:keepNext w:val="0"/>
              <w:keepLines w:val="0"/>
              <w:pageBreakBefore w:val="0"/>
              <w:kinsoku/>
              <w:wordWrap/>
              <w:overflowPunct/>
              <w:topLinePunct w:val="0"/>
              <w:autoSpaceDE/>
              <w:autoSpaceDN/>
              <w:bidi w:val="0"/>
              <w:adjustRightInd/>
              <w:snapToGrid/>
              <w:spacing w:line="280" w:lineRule="exact"/>
              <w:textAlignment w:val="auto"/>
              <w:rPr>
                <w:rFonts w:hint="eastAsia" w:ascii="方正仿宋_GBK" w:eastAsia="方正仿宋_GBK"/>
                <w:color w:val="auto"/>
                <w:sz w:val="21"/>
                <w:szCs w:val="21"/>
              </w:rPr>
            </w:pPr>
            <w:r>
              <w:rPr>
                <w:rFonts w:hint="eastAsia" w:ascii="方正仿宋_GBK" w:eastAsia="方正仿宋_GBK"/>
                <w:color w:val="auto"/>
                <w:sz w:val="21"/>
                <w:szCs w:val="21"/>
              </w:rPr>
              <w:t>序号</w:t>
            </w:r>
          </w:p>
        </w:tc>
        <w:tc>
          <w:tcPr>
            <w:tcW w:w="657" w:type="pct"/>
            <w:noWrap w:val="0"/>
            <w:vAlign w:val="center"/>
          </w:tcPr>
          <w:p w14:paraId="4AA87A20">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_GBK" w:eastAsia="方正仿宋_GBK"/>
                <w:color w:val="auto"/>
                <w:sz w:val="21"/>
                <w:szCs w:val="21"/>
              </w:rPr>
            </w:pPr>
            <w:r>
              <w:rPr>
                <w:rFonts w:hint="eastAsia" w:ascii="方正仿宋_GBK" w:eastAsia="方正仿宋_GBK"/>
                <w:color w:val="auto"/>
                <w:sz w:val="21"/>
                <w:szCs w:val="21"/>
              </w:rPr>
              <w:t>评分因素</w:t>
            </w:r>
          </w:p>
          <w:p w14:paraId="707C79B4">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_GBK" w:eastAsia="方正仿宋_GBK"/>
                <w:color w:val="auto"/>
                <w:sz w:val="21"/>
                <w:szCs w:val="21"/>
              </w:rPr>
            </w:pPr>
            <w:r>
              <w:rPr>
                <w:rFonts w:hint="eastAsia" w:ascii="方正仿宋_GBK" w:eastAsia="方正仿宋_GBK"/>
                <w:color w:val="auto"/>
                <w:sz w:val="21"/>
                <w:szCs w:val="21"/>
              </w:rPr>
              <w:t>及权重</w:t>
            </w:r>
          </w:p>
        </w:tc>
        <w:tc>
          <w:tcPr>
            <w:tcW w:w="293" w:type="pct"/>
            <w:noWrap w:val="0"/>
            <w:vAlign w:val="center"/>
          </w:tcPr>
          <w:p w14:paraId="6674890A">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_GBK" w:eastAsia="方正仿宋_GBK"/>
                <w:color w:val="auto"/>
                <w:sz w:val="21"/>
                <w:szCs w:val="21"/>
              </w:rPr>
            </w:pPr>
            <w:r>
              <w:rPr>
                <w:rFonts w:hint="eastAsia" w:ascii="方正仿宋_GBK" w:eastAsia="方正仿宋_GBK"/>
                <w:color w:val="auto"/>
                <w:sz w:val="21"/>
                <w:szCs w:val="21"/>
              </w:rPr>
              <w:t>分值</w:t>
            </w:r>
          </w:p>
        </w:tc>
        <w:tc>
          <w:tcPr>
            <w:tcW w:w="2104" w:type="pct"/>
            <w:noWrap w:val="0"/>
            <w:vAlign w:val="center"/>
          </w:tcPr>
          <w:p w14:paraId="776252C5">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_GBK" w:eastAsia="方正仿宋_GBK"/>
                <w:color w:val="auto"/>
                <w:sz w:val="21"/>
                <w:szCs w:val="21"/>
              </w:rPr>
            </w:pPr>
            <w:r>
              <w:rPr>
                <w:rFonts w:hint="eastAsia" w:ascii="方正仿宋_GBK" w:eastAsia="方正仿宋_GBK"/>
                <w:color w:val="auto"/>
                <w:sz w:val="21"/>
                <w:szCs w:val="21"/>
              </w:rPr>
              <w:t>评分标准</w:t>
            </w:r>
          </w:p>
        </w:tc>
        <w:tc>
          <w:tcPr>
            <w:tcW w:w="1611" w:type="pct"/>
            <w:noWrap w:val="0"/>
            <w:vAlign w:val="center"/>
          </w:tcPr>
          <w:p w14:paraId="69FC5190">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_GBK" w:eastAsia="方正仿宋_GBK"/>
                <w:color w:val="auto"/>
                <w:sz w:val="21"/>
                <w:szCs w:val="21"/>
              </w:rPr>
            </w:pPr>
            <w:r>
              <w:rPr>
                <w:rFonts w:hint="eastAsia" w:ascii="方正仿宋_GBK" w:eastAsia="方正仿宋_GBK"/>
                <w:color w:val="auto"/>
                <w:sz w:val="21"/>
                <w:szCs w:val="21"/>
              </w:rPr>
              <w:t>说明</w:t>
            </w:r>
          </w:p>
        </w:tc>
      </w:tr>
      <w:tr w14:paraId="11ADF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 w:type="pct"/>
            <w:noWrap w:val="0"/>
            <w:vAlign w:val="center"/>
          </w:tcPr>
          <w:p w14:paraId="6E44DB1E">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_GBK" w:eastAsia="方正仿宋_GBK"/>
                <w:color w:val="auto"/>
                <w:sz w:val="21"/>
                <w:szCs w:val="21"/>
              </w:rPr>
            </w:pPr>
            <w:r>
              <w:rPr>
                <w:rFonts w:hint="eastAsia" w:ascii="方正仿宋_GBK" w:eastAsia="方正仿宋_GBK"/>
                <w:color w:val="auto"/>
                <w:sz w:val="21"/>
                <w:szCs w:val="21"/>
              </w:rPr>
              <w:t>1</w:t>
            </w:r>
          </w:p>
        </w:tc>
        <w:tc>
          <w:tcPr>
            <w:tcW w:w="657" w:type="pct"/>
            <w:noWrap w:val="0"/>
            <w:vAlign w:val="center"/>
          </w:tcPr>
          <w:p w14:paraId="03AB49A5">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_GBK" w:eastAsia="方正仿宋_GBK"/>
                <w:color w:val="auto"/>
                <w:sz w:val="21"/>
                <w:szCs w:val="21"/>
              </w:rPr>
            </w:pPr>
            <w:r>
              <w:rPr>
                <w:rFonts w:hint="eastAsia" w:ascii="方正仿宋_GBK" w:eastAsia="方正仿宋_GBK"/>
                <w:color w:val="auto"/>
                <w:sz w:val="21"/>
                <w:szCs w:val="21"/>
              </w:rPr>
              <w:t>投标报价</w:t>
            </w:r>
          </w:p>
          <w:p w14:paraId="527F2AC4">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_GBK" w:eastAsia="方正仿宋_GBK"/>
                <w:color w:val="auto"/>
                <w:sz w:val="21"/>
                <w:szCs w:val="21"/>
              </w:rPr>
            </w:pPr>
            <w:r>
              <w:rPr>
                <w:rFonts w:hint="eastAsia" w:ascii="方正仿宋_GBK" w:eastAsia="方正仿宋_GBK"/>
                <w:color w:val="auto"/>
                <w:sz w:val="21"/>
                <w:szCs w:val="21"/>
              </w:rPr>
              <w:t>（</w:t>
            </w:r>
            <w:r>
              <w:rPr>
                <w:rFonts w:hint="eastAsia" w:ascii="方正仿宋_GBK" w:eastAsia="方正仿宋_GBK"/>
                <w:color w:val="auto"/>
                <w:sz w:val="21"/>
                <w:szCs w:val="21"/>
                <w:lang w:val="en-US" w:eastAsia="zh-CN"/>
              </w:rPr>
              <w:t>30</w:t>
            </w:r>
            <w:r>
              <w:rPr>
                <w:rFonts w:hint="eastAsia" w:ascii="方正仿宋_GBK" w:eastAsia="方正仿宋_GBK"/>
                <w:color w:val="auto"/>
                <w:sz w:val="21"/>
                <w:szCs w:val="21"/>
              </w:rPr>
              <w:t>%）</w:t>
            </w:r>
          </w:p>
        </w:tc>
        <w:tc>
          <w:tcPr>
            <w:tcW w:w="293" w:type="pct"/>
            <w:noWrap w:val="0"/>
            <w:vAlign w:val="center"/>
          </w:tcPr>
          <w:p w14:paraId="4E371220">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方正仿宋_GBK" w:eastAsia="方正仿宋_GBK"/>
                <w:color w:val="auto"/>
                <w:sz w:val="21"/>
                <w:szCs w:val="21"/>
                <w:lang w:val="en-US" w:eastAsia="zh-CN"/>
              </w:rPr>
            </w:pPr>
            <w:r>
              <w:rPr>
                <w:rFonts w:hint="eastAsia" w:ascii="方正仿宋_GBK" w:eastAsia="方正仿宋_GBK"/>
                <w:color w:val="auto"/>
                <w:sz w:val="21"/>
                <w:szCs w:val="21"/>
                <w:lang w:val="en-US" w:eastAsia="zh-CN"/>
              </w:rPr>
              <w:t>30</w:t>
            </w:r>
          </w:p>
        </w:tc>
        <w:tc>
          <w:tcPr>
            <w:tcW w:w="2104" w:type="pct"/>
            <w:noWrap w:val="0"/>
            <w:vAlign w:val="center"/>
          </w:tcPr>
          <w:p w14:paraId="60DC8A51">
            <w:pPr>
              <w:keepNext w:val="0"/>
              <w:keepLines w:val="0"/>
              <w:pageBreakBefore w:val="0"/>
              <w:kinsoku/>
              <w:wordWrap/>
              <w:overflowPunct/>
              <w:topLinePunct w:val="0"/>
              <w:autoSpaceDE/>
              <w:autoSpaceDN/>
              <w:bidi w:val="0"/>
              <w:adjustRightInd/>
              <w:snapToGrid/>
              <w:spacing w:line="280" w:lineRule="exact"/>
              <w:textAlignment w:val="auto"/>
              <w:rPr>
                <w:rFonts w:hint="eastAsia" w:ascii="方正仿宋_GBK" w:eastAsia="方正仿宋_GBK"/>
                <w:color w:val="auto"/>
                <w:sz w:val="21"/>
                <w:szCs w:val="21"/>
              </w:rPr>
            </w:pPr>
            <w:r>
              <w:rPr>
                <w:rFonts w:hint="eastAsia" w:ascii="方正仿宋_GBK" w:eastAsia="方正仿宋_GBK"/>
                <w:color w:val="auto"/>
                <w:sz w:val="21"/>
                <w:szCs w:val="21"/>
              </w:rPr>
              <w:t>有效的投标报价中的最低价为评标基准价，按照下列公式计算每个投标人的投标价格得分。</w:t>
            </w:r>
          </w:p>
          <w:p w14:paraId="4F807922">
            <w:pPr>
              <w:keepNext w:val="0"/>
              <w:keepLines w:val="0"/>
              <w:pageBreakBefore w:val="0"/>
              <w:kinsoku/>
              <w:wordWrap/>
              <w:overflowPunct/>
              <w:topLinePunct w:val="0"/>
              <w:autoSpaceDE/>
              <w:autoSpaceDN/>
              <w:bidi w:val="0"/>
              <w:adjustRightInd/>
              <w:snapToGrid/>
              <w:spacing w:line="280" w:lineRule="exact"/>
              <w:textAlignment w:val="auto"/>
              <w:rPr>
                <w:rFonts w:hint="eastAsia" w:ascii="方正仿宋_GBK" w:eastAsia="方正仿宋_GBK"/>
                <w:color w:val="auto"/>
                <w:sz w:val="21"/>
                <w:szCs w:val="21"/>
              </w:rPr>
            </w:pPr>
            <w:r>
              <w:rPr>
                <w:rFonts w:hint="eastAsia" w:ascii="方正仿宋_GBK" w:eastAsia="方正仿宋_GBK"/>
                <w:color w:val="auto"/>
                <w:sz w:val="21"/>
                <w:szCs w:val="21"/>
              </w:rPr>
              <w:t>投标报价得分＝（评标基准价/投标报价）×价格权重×100。</w:t>
            </w:r>
          </w:p>
        </w:tc>
        <w:tc>
          <w:tcPr>
            <w:tcW w:w="1611" w:type="pct"/>
            <w:noWrap w:val="0"/>
            <w:vAlign w:val="center"/>
          </w:tcPr>
          <w:p w14:paraId="2CFA37E1">
            <w:pPr>
              <w:keepNext w:val="0"/>
              <w:keepLines w:val="0"/>
              <w:pageBreakBefore w:val="0"/>
              <w:kinsoku/>
              <w:wordWrap/>
              <w:overflowPunct/>
              <w:topLinePunct w:val="0"/>
              <w:autoSpaceDE/>
              <w:autoSpaceDN/>
              <w:bidi w:val="0"/>
              <w:adjustRightInd/>
              <w:snapToGrid/>
              <w:ind w:left="-38"/>
              <w:textAlignment w:val="auto"/>
              <w:rPr>
                <w:rFonts w:hint="eastAsia" w:ascii="方正仿宋_GBK" w:hAnsi="宋体" w:eastAsia="方正仿宋_GBK"/>
                <w:color w:val="auto"/>
                <w:sz w:val="21"/>
                <w:szCs w:val="21"/>
              </w:rPr>
            </w:pPr>
          </w:p>
        </w:tc>
      </w:tr>
      <w:tr w14:paraId="0FF8C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2" w:type="pct"/>
            <w:vMerge w:val="restart"/>
            <w:noWrap w:val="0"/>
            <w:vAlign w:val="center"/>
          </w:tcPr>
          <w:p w14:paraId="3EDE9E4B">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_GBK" w:eastAsia="方正仿宋_GBK"/>
                <w:color w:val="auto"/>
                <w:sz w:val="21"/>
                <w:szCs w:val="21"/>
              </w:rPr>
            </w:pPr>
            <w:r>
              <w:rPr>
                <w:rFonts w:hint="eastAsia" w:ascii="方正仿宋_GBK" w:eastAsia="方正仿宋_GBK"/>
                <w:color w:val="auto"/>
                <w:sz w:val="21"/>
                <w:szCs w:val="21"/>
              </w:rPr>
              <w:t>2</w:t>
            </w:r>
          </w:p>
        </w:tc>
        <w:tc>
          <w:tcPr>
            <w:tcW w:w="657" w:type="pct"/>
            <w:vMerge w:val="restart"/>
            <w:noWrap w:val="0"/>
            <w:vAlign w:val="center"/>
          </w:tcPr>
          <w:p w14:paraId="7BF79452">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_GBK" w:eastAsia="方正仿宋_GBK"/>
                <w:color w:val="auto"/>
                <w:sz w:val="21"/>
                <w:szCs w:val="21"/>
              </w:rPr>
            </w:pPr>
            <w:r>
              <w:rPr>
                <w:rFonts w:hint="eastAsia" w:ascii="方正仿宋_GBK" w:eastAsia="方正仿宋_GBK"/>
                <w:color w:val="auto"/>
                <w:sz w:val="21"/>
                <w:szCs w:val="21"/>
              </w:rPr>
              <w:t>服务部分</w:t>
            </w:r>
          </w:p>
          <w:p w14:paraId="37C922D5">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_GBK" w:eastAsia="方正仿宋_GBK"/>
                <w:color w:val="auto"/>
                <w:sz w:val="21"/>
                <w:szCs w:val="21"/>
              </w:rPr>
            </w:pPr>
            <w:r>
              <w:rPr>
                <w:rFonts w:hint="eastAsia" w:ascii="方正仿宋_GBK" w:eastAsia="方正仿宋_GBK"/>
                <w:color w:val="auto"/>
                <w:sz w:val="21"/>
                <w:szCs w:val="21"/>
              </w:rPr>
              <w:t>（</w:t>
            </w:r>
            <w:r>
              <w:rPr>
                <w:rFonts w:hint="eastAsia" w:ascii="方正仿宋_GBK" w:eastAsia="方正仿宋_GBK"/>
                <w:color w:val="auto"/>
                <w:sz w:val="21"/>
                <w:szCs w:val="21"/>
                <w:lang w:val="en-US" w:eastAsia="zh-CN"/>
              </w:rPr>
              <w:t>60</w:t>
            </w:r>
            <w:r>
              <w:rPr>
                <w:rFonts w:hint="eastAsia" w:ascii="方正仿宋_GBK" w:eastAsia="方正仿宋_GBK"/>
                <w:color w:val="auto"/>
                <w:sz w:val="21"/>
                <w:szCs w:val="21"/>
              </w:rPr>
              <w:t>%）</w:t>
            </w:r>
          </w:p>
        </w:tc>
        <w:tc>
          <w:tcPr>
            <w:tcW w:w="293" w:type="pct"/>
            <w:vMerge w:val="restart"/>
            <w:noWrap w:val="0"/>
            <w:vAlign w:val="center"/>
          </w:tcPr>
          <w:p w14:paraId="11913723">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方正仿宋_GBK" w:eastAsia="方正仿宋_GBK"/>
                <w:color w:val="auto"/>
                <w:sz w:val="21"/>
                <w:szCs w:val="21"/>
                <w:lang w:val="en-US" w:eastAsia="zh-CN"/>
              </w:rPr>
            </w:pPr>
            <w:r>
              <w:rPr>
                <w:rFonts w:hint="eastAsia" w:ascii="方正仿宋_GBK" w:eastAsia="方正仿宋_GBK"/>
                <w:color w:val="auto"/>
                <w:sz w:val="21"/>
                <w:szCs w:val="21"/>
                <w:lang w:val="en-US" w:eastAsia="zh-CN"/>
              </w:rPr>
              <w:t>30</w:t>
            </w:r>
          </w:p>
        </w:tc>
        <w:tc>
          <w:tcPr>
            <w:tcW w:w="2104" w:type="pct"/>
            <w:noWrap w:val="0"/>
            <w:vAlign w:val="center"/>
          </w:tcPr>
          <w:p w14:paraId="0124C7FC">
            <w:pPr>
              <w:keepNext w:val="0"/>
              <w:keepLines w:val="0"/>
              <w:pageBreakBefore w:val="0"/>
              <w:kinsoku/>
              <w:wordWrap/>
              <w:overflowPunct/>
              <w:topLinePunct w:val="0"/>
              <w:autoSpaceDE/>
              <w:autoSpaceDN/>
              <w:bidi w:val="0"/>
              <w:adjustRightInd/>
              <w:snapToGrid/>
              <w:spacing w:line="280" w:lineRule="exact"/>
              <w:textAlignment w:val="auto"/>
              <w:rPr>
                <w:rFonts w:hint="eastAsia" w:ascii="方正仿宋_GBK" w:eastAsia="方正仿宋_GBK"/>
                <w:color w:val="auto"/>
                <w:sz w:val="21"/>
                <w:szCs w:val="21"/>
              </w:rPr>
            </w:pPr>
            <w:r>
              <w:rPr>
                <w:rFonts w:hint="eastAsia" w:ascii="方正仿宋_GBK" w:eastAsia="方正仿宋_GBK"/>
                <w:color w:val="auto"/>
                <w:sz w:val="21"/>
                <w:szCs w:val="21"/>
              </w:rPr>
              <w:t>A起评分：</w:t>
            </w:r>
          </w:p>
          <w:p w14:paraId="6B045DC8">
            <w:pPr>
              <w:keepNext w:val="0"/>
              <w:keepLines w:val="0"/>
              <w:pageBreakBefore w:val="0"/>
              <w:kinsoku/>
              <w:wordWrap/>
              <w:overflowPunct/>
              <w:topLinePunct w:val="0"/>
              <w:autoSpaceDE/>
              <w:autoSpaceDN/>
              <w:bidi w:val="0"/>
              <w:adjustRightInd/>
              <w:snapToGrid/>
              <w:spacing w:line="280" w:lineRule="exact"/>
              <w:textAlignment w:val="auto"/>
              <w:rPr>
                <w:rFonts w:hint="eastAsia" w:ascii="方正仿宋_GBK" w:eastAsia="方正仿宋_GBK"/>
                <w:color w:val="auto"/>
                <w:sz w:val="21"/>
                <w:szCs w:val="21"/>
              </w:rPr>
            </w:pPr>
            <w:r>
              <w:rPr>
                <w:rFonts w:hint="eastAsia" w:ascii="方正仿宋_GBK" w:eastAsia="方正仿宋_GBK"/>
                <w:color w:val="auto"/>
                <w:sz w:val="21"/>
                <w:szCs w:val="21"/>
              </w:rPr>
              <w:t>有效投标人的起评分为</w:t>
            </w:r>
            <w:r>
              <w:rPr>
                <w:rFonts w:hint="eastAsia" w:ascii="方正仿宋_GBK" w:eastAsia="方正仿宋_GBK"/>
                <w:color w:val="auto"/>
                <w:sz w:val="21"/>
                <w:szCs w:val="21"/>
                <w:lang w:val="en-US" w:eastAsia="zh-CN"/>
              </w:rPr>
              <w:t>30</w:t>
            </w:r>
            <w:r>
              <w:rPr>
                <w:rFonts w:hint="eastAsia" w:ascii="方正仿宋_GBK" w:eastAsia="方正仿宋_GBK"/>
                <w:color w:val="auto"/>
                <w:sz w:val="21"/>
                <w:szCs w:val="21"/>
              </w:rPr>
              <w:t>分。</w:t>
            </w:r>
          </w:p>
        </w:tc>
        <w:tc>
          <w:tcPr>
            <w:tcW w:w="1611" w:type="pct"/>
            <w:noWrap w:val="0"/>
            <w:vAlign w:val="center"/>
          </w:tcPr>
          <w:p w14:paraId="1D915C2F">
            <w:pPr>
              <w:keepNext w:val="0"/>
              <w:keepLines w:val="0"/>
              <w:pageBreakBefore w:val="0"/>
              <w:kinsoku/>
              <w:wordWrap/>
              <w:overflowPunct/>
              <w:topLinePunct w:val="0"/>
              <w:autoSpaceDE/>
              <w:autoSpaceDN/>
              <w:bidi w:val="0"/>
              <w:adjustRightInd/>
              <w:snapToGrid/>
              <w:spacing w:line="280" w:lineRule="exact"/>
              <w:textAlignment w:val="auto"/>
              <w:rPr>
                <w:rFonts w:hint="eastAsia" w:ascii="方正仿宋_GBK" w:eastAsia="方正仿宋_GBK"/>
                <w:color w:val="auto"/>
                <w:sz w:val="21"/>
                <w:szCs w:val="21"/>
              </w:rPr>
            </w:pPr>
          </w:p>
        </w:tc>
      </w:tr>
      <w:tr w14:paraId="24679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332" w:type="pct"/>
            <w:vMerge w:val="continue"/>
            <w:noWrap w:val="0"/>
            <w:vAlign w:val="center"/>
          </w:tcPr>
          <w:p w14:paraId="59EB2288">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_GBK" w:eastAsia="方正仿宋_GBK"/>
                <w:color w:val="auto"/>
                <w:sz w:val="21"/>
                <w:szCs w:val="21"/>
              </w:rPr>
            </w:pPr>
          </w:p>
        </w:tc>
        <w:tc>
          <w:tcPr>
            <w:tcW w:w="657" w:type="pct"/>
            <w:vMerge w:val="continue"/>
            <w:noWrap w:val="0"/>
            <w:vAlign w:val="center"/>
          </w:tcPr>
          <w:p w14:paraId="05D8DA73">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_GBK" w:eastAsia="方正仿宋_GBK"/>
                <w:color w:val="auto"/>
                <w:sz w:val="21"/>
                <w:szCs w:val="21"/>
              </w:rPr>
            </w:pPr>
          </w:p>
        </w:tc>
        <w:tc>
          <w:tcPr>
            <w:tcW w:w="293" w:type="pct"/>
            <w:vMerge w:val="continue"/>
            <w:noWrap w:val="0"/>
            <w:vAlign w:val="center"/>
          </w:tcPr>
          <w:p w14:paraId="4F775827">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_GBK" w:eastAsia="方正仿宋_GBK"/>
                <w:color w:val="auto"/>
                <w:sz w:val="21"/>
                <w:szCs w:val="21"/>
              </w:rPr>
            </w:pPr>
          </w:p>
        </w:tc>
        <w:tc>
          <w:tcPr>
            <w:tcW w:w="2104" w:type="pct"/>
            <w:noWrap w:val="0"/>
            <w:vAlign w:val="center"/>
          </w:tcPr>
          <w:p w14:paraId="1D6C31CB">
            <w:pPr>
              <w:keepNext w:val="0"/>
              <w:keepLines w:val="0"/>
              <w:pageBreakBefore w:val="0"/>
              <w:kinsoku/>
              <w:wordWrap/>
              <w:overflowPunct/>
              <w:topLinePunct w:val="0"/>
              <w:autoSpaceDE/>
              <w:autoSpaceDN/>
              <w:bidi w:val="0"/>
              <w:adjustRightInd/>
              <w:snapToGrid/>
              <w:spacing w:line="280" w:lineRule="exact"/>
              <w:textAlignment w:val="auto"/>
              <w:rPr>
                <w:rFonts w:hint="eastAsia" w:ascii="方正仿宋_GBK" w:eastAsia="方正仿宋_GBK"/>
                <w:color w:val="auto"/>
                <w:sz w:val="21"/>
                <w:szCs w:val="21"/>
              </w:rPr>
            </w:pPr>
            <w:r>
              <w:rPr>
                <w:rFonts w:hint="eastAsia" w:ascii="方正仿宋_GBK" w:eastAsia="方正仿宋_GBK"/>
                <w:color w:val="auto"/>
                <w:sz w:val="21"/>
                <w:szCs w:val="21"/>
                <w:lang w:val="en-US" w:eastAsia="zh-CN"/>
              </w:rPr>
              <w:t>B</w:t>
            </w:r>
            <w:r>
              <w:rPr>
                <w:rFonts w:hint="eastAsia" w:ascii="方正仿宋_GBK" w:eastAsia="方正仿宋_GBK"/>
                <w:color w:val="auto"/>
                <w:sz w:val="21"/>
                <w:szCs w:val="21"/>
              </w:rPr>
              <w:t>扣分条款：</w:t>
            </w:r>
          </w:p>
          <w:p w14:paraId="3B1C7FFC">
            <w:pPr>
              <w:keepNext w:val="0"/>
              <w:keepLines w:val="0"/>
              <w:pageBreakBefore w:val="0"/>
              <w:kinsoku/>
              <w:wordWrap/>
              <w:overflowPunct/>
              <w:topLinePunct w:val="0"/>
              <w:autoSpaceDE/>
              <w:autoSpaceDN/>
              <w:bidi w:val="0"/>
              <w:adjustRightInd/>
              <w:snapToGrid/>
              <w:spacing w:line="280" w:lineRule="exact"/>
              <w:textAlignment w:val="auto"/>
              <w:rPr>
                <w:rFonts w:hint="eastAsia" w:ascii="方正仿宋_GBK" w:eastAsia="方正仿宋_GBK"/>
                <w:color w:val="auto"/>
                <w:sz w:val="21"/>
                <w:szCs w:val="21"/>
              </w:rPr>
            </w:pPr>
            <w:r>
              <w:rPr>
                <w:rFonts w:hint="eastAsia" w:ascii="方正仿宋_GBK" w:eastAsia="方正仿宋_GBK"/>
                <w:color w:val="auto"/>
                <w:sz w:val="21"/>
                <w:szCs w:val="21"/>
                <w:lang w:val="en-US" w:eastAsia="zh-CN"/>
              </w:rPr>
              <w:t>1.</w:t>
            </w:r>
            <w:r>
              <w:rPr>
                <w:rFonts w:hint="eastAsia" w:ascii="方正仿宋_GBK" w:eastAsia="方正仿宋_GBK"/>
                <w:color w:val="auto"/>
                <w:sz w:val="21"/>
                <w:szCs w:val="21"/>
              </w:rPr>
              <w:t>投标文件投标应答有一条不满足（负偏离）招标文件重要技术需求的（标注符号▲，共</w:t>
            </w:r>
            <w:r>
              <w:rPr>
                <w:rFonts w:hint="eastAsia" w:ascii="方正仿宋_GBK" w:eastAsia="方正仿宋_GBK"/>
                <w:color w:val="auto"/>
                <w:sz w:val="21"/>
                <w:szCs w:val="21"/>
                <w:lang w:val="en-US" w:eastAsia="zh-CN"/>
              </w:rPr>
              <w:t>36</w:t>
            </w:r>
            <w:r>
              <w:rPr>
                <w:rFonts w:hint="eastAsia" w:ascii="方正仿宋_GBK" w:eastAsia="方正仿宋_GBK"/>
                <w:color w:val="auto"/>
                <w:sz w:val="21"/>
                <w:szCs w:val="21"/>
              </w:rPr>
              <w:t>条），每负偏离1条扣除</w:t>
            </w:r>
            <w:r>
              <w:rPr>
                <w:rFonts w:hint="eastAsia" w:ascii="方正仿宋_GBK" w:eastAsia="方正仿宋_GBK"/>
                <w:color w:val="auto"/>
                <w:sz w:val="21"/>
                <w:szCs w:val="21"/>
                <w:lang w:val="en-US" w:eastAsia="zh-CN"/>
              </w:rPr>
              <w:t>0.5</w:t>
            </w:r>
            <w:r>
              <w:rPr>
                <w:rFonts w:hint="eastAsia" w:ascii="方正仿宋_GBK" w:eastAsia="方正仿宋_GBK"/>
                <w:color w:val="auto"/>
                <w:sz w:val="21"/>
                <w:szCs w:val="21"/>
              </w:rPr>
              <w:t>分。</w:t>
            </w:r>
          </w:p>
          <w:p w14:paraId="63353550">
            <w:pPr>
              <w:keepNext w:val="0"/>
              <w:keepLines w:val="0"/>
              <w:pageBreakBefore w:val="0"/>
              <w:kinsoku/>
              <w:wordWrap/>
              <w:overflowPunct/>
              <w:topLinePunct w:val="0"/>
              <w:autoSpaceDE/>
              <w:autoSpaceDN/>
              <w:bidi w:val="0"/>
              <w:adjustRightInd/>
              <w:snapToGrid/>
              <w:spacing w:line="280" w:lineRule="exact"/>
              <w:textAlignment w:val="auto"/>
              <w:rPr>
                <w:rFonts w:hint="eastAsia" w:ascii="方正仿宋_GBK" w:eastAsia="方正仿宋_GBK"/>
                <w:color w:val="auto"/>
                <w:sz w:val="21"/>
                <w:szCs w:val="21"/>
              </w:rPr>
            </w:pPr>
            <w:r>
              <w:rPr>
                <w:rFonts w:hint="eastAsia" w:ascii="方正仿宋_GBK" w:eastAsia="方正仿宋_GBK"/>
                <w:color w:val="auto"/>
                <w:sz w:val="21"/>
                <w:szCs w:val="21"/>
              </w:rPr>
              <w:t>2</w:t>
            </w:r>
            <w:r>
              <w:rPr>
                <w:rFonts w:hint="eastAsia" w:ascii="方正仿宋_GBK" w:eastAsia="方正仿宋_GBK"/>
                <w:color w:val="auto"/>
                <w:sz w:val="21"/>
                <w:szCs w:val="21"/>
                <w:lang w:val="en-US" w:eastAsia="zh-CN"/>
              </w:rPr>
              <w:t>.</w:t>
            </w:r>
            <w:r>
              <w:rPr>
                <w:rFonts w:hint="eastAsia" w:ascii="方正仿宋_GBK" w:eastAsia="方正仿宋_GBK"/>
                <w:color w:val="auto"/>
                <w:sz w:val="21"/>
                <w:szCs w:val="21"/>
              </w:rPr>
              <w:t>投标文件投标应答有一条不满足（负偏离）招标文件一般性技术需求的（标注符号○，共</w:t>
            </w:r>
            <w:r>
              <w:rPr>
                <w:rFonts w:hint="eastAsia" w:ascii="方正仿宋_GBK" w:eastAsia="方正仿宋_GBK"/>
                <w:color w:val="auto"/>
                <w:sz w:val="21"/>
                <w:szCs w:val="21"/>
                <w:lang w:val="en-US" w:eastAsia="zh-CN"/>
              </w:rPr>
              <w:t>32</w:t>
            </w:r>
            <w:r>
              <w:rPr>
                <w:rFonts w:hint="eastAsia" w:ascii="方正仿宋_GBK" w:eastAsia="方正仿宋_GBK"/>
                <w:color w:val="auto"/>
                <w:sz w:val="21"/>
                <w:szCs w:val="21"/>
              </w:rPr>
              <w:t>条），每负偏离1条扣除</w:t>
            </w:r>
            <w:r>
              <w:rPr>
                <w:rFonts w:hint="eastAsia" w:ascii="方正仿宋_GBK" w:eastAsia="方正仿宋_GBK"/>
                <w:color w:val="auto"/>
                <w:sz w:val="21"/>
                <w:szCs w:val="21"/>
                <w:lang w:val="en-US" w:eastAsia="zh-CN"/>
              </w:rPr>
              <w:t>0.375</w:t>
            </w:r>
            <w:r>
              <w:rPr>
                <w:rFonts w:hint="eastAsia" w:ascii="方正仿宋_GBK" w:eastAsia="方正仿宋_GBK"/>
                <w:color w:val="auto"/>
                <w:sz w:val="21"/>
                <w:szCs w:val="21"/>
              </w:rPr>
              <w:t>分。</w:t>
            </w:r>
          </w:p>
        </w:tc>
        <w:tc>
          <w:tcPr>
            <w:tcW w:w="1611" w:type="pct"/>
            <w:noWrap w:val="0"/>
            <w:vAlign w:val="center"/>
          </w:tcPr>
          <w:p w14:paraId="7B925E5B">
            <w:pPr>
              <w:keepNext w:val="0"/>
              <w:keepLines w:val="0"/>
              <w:pageBreakBefore w:val="0"/>
              <w:kinsoku/>
              <w:wordWrap/>
              <w:overflowPunct/>
              <w:topLinePunct w:val="0"/>
              <w:autoSpaceDE/>
              <w:autoSpaceDN/>
              <w:bidi w:val="0"/>
              <w:adjustRightInd/>
              <w:snapToGrid/>
              <w:spacing w:line="280" w:lineRule="exact"/>
              <w:textAlignment w:val="auto"/>
              <w:rPr>
                <w:rFonts w:hint="eastAsia" w:ascii="方正仿宋_GBK" w:eastAsia="方正仿宋_GBK"/>
                <w:color w:val="auto"/>
                <w:sz w:val="21"/>
                <w:szCs w:val="21"/>
              </w:rPr>
            </w:pPr>
          </w:p>
        </w:tc>
      </w:tr>
      <w:tr w14:paraId="6C95E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5" w:hRule="atLeast"/>
          <w:jc w:val="center"/>
        </w:trPr>
        <w:tc>
          <w:tcPr>
            <w:tcW w:w="332" w:type="pct"/>
            <w:vMerge w:val="continue"/>
            <w:noWrap w:val="0"/>
            <w:vAlign w:val="center"/>
          </w:tcPr>
          <w:p w14:paraId="03BD3DC7">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_GBK" w:eastAsia="方正仿宋_GBK"/>
                <w:color w:val="auto"/>
                <w:sz w:val="21"/>
                <w:szCs w:val="21"/>
              </w:rPr>
            </w:pPr>
          </w:p>
        </w:tc>
        <w:tc>
          <w:tcPr>
            <w:tcW w:w="657" w:type="pct"/>
            <w:vMerge w:val="continue"/>
            <w:noWrap w:val="0"/>
            <w:vAlign w:val="center"/>
          </w:tcPr>
          <w:p w14:paraId="3CA1818A">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_GBK" w:eastAsia="方正仿宋_GBK"/>
                <w:color w:val="auto"/>
                <w:sz w:val="21"/>
                <w:szCs w:val="21"/>
              </w:rPr>
            </w:pPr>
          </w:p>
        </w:tc>
        <w:tc>
          <w:tcPr>
            <w:tcW w:w="293" w:type="pct"/>
            <w:noWrap w:val="0"/>
            <w:vAlign w:val="center"/>
          </w:tcPr>
          <w:p w14:paraId="189573F5">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_GBK" w:eastAsia="方正仿宋_GBK"/>
                <w:color w:val="auto"/>
                <w:sz w:val="21"/>
                <w:szCs w:val="21"/>
                <w:lang w:val="en-US" w:eastAsia="zh-CN"/>
              </w:rPr>
            </w:pPr>
            <w:r>
              <w:rPr>
                <w:rFonts w:hint="eastAsia" w:ascii="方正仿宋_GBK" w:eastAsia="方正仿宋_GBK"/>
                <w:color w:val="auto"/>
                <w:sz w:val="21"/>
                <w:szCs w:val="21"/>
                <w:lang w:val="en-US" w:eastAsia="zh-CN"/>
              </w:rPr>
              <w:t>5</w:t>
            </w:r>
          </w:p>
        </w:tc>
        <w:tc>
          <w:tcPr>
            <w:tcW w:w="2104" w:type="pct"/>
            <w:noWrap w:val="0"/>
            <w:vAlign w:val="center"/>
          </w:tcPr>
          <w:p w14:paraId="4326E8AE">
            <w:pPr>
              <w:keepNext w:val="0"/>
              <w:keepLines w:val="0"/>
              <w:pageBreakBefore w:val="0"/>
              <w:kinsoku/>
              <w:wordWrap/>
              <w:overflowPunct/>
              <w:topLinePunct w:val="0"/>
              <w:autoSpaceDE/>
              <w:autoSpaceDN/>
              <w:bidi w:val="0"/>
              <w:adjustRightInd/>
              <w:snapToGrid/>
              <w:spacing w:line="280" w:lineRule="exact"/>
              <w:textAlignment w:val="auto"/>
              <w:rPr>
                <w:rFonts w:hint="eastAsia" w:ascii="方正仿宋_GBK" w:hAnsi="Times New Roman" w:eastAsia="方正仿宋_GBK" w:cs="Times New Roman"/>
                <w:color w:val="auto"/>
                <w:sz w:val="21"/>
                <w:szCs w:val="21"/>
              </w:rPr>
            </w:pPr>
            <w:r>
              <w:rPr>
                <w:rFonts w:hint="eastAsia" w:ascii="方正仿宋_GBK" w:hAnsi="Times New Roman" w:eastAsia="方正仿宋_GBK" w:cs="Times New Roman"/>
                <w:color w:val="auto"/>
                <w:sz w:val="21"/>
                <w:szCs w:val="21"/>
              </w:rPr>
              <w:t>投标人具有配送库房得5分。（自有库房需提供投标人自有产权证复印件加盖公章，租赁库房须提供租赁合同和产权证复印件加盖公章及合同约定最近1期缴纳租金的凭据，提供不低于3张不同角度彩色图片。</w:t>
            </w:r>
          </w:p>
        </w:tc>
        <w:tc>
          <w:tcPr>
            <w:tcW w:w="1611" w:type="pct"/>
            <w:noWrap w:val="0"/>
            <w:vAlign w:val="center"/>
          </w:tcPr>
          <w:p w14:paraId="5C2FE017">
            <w:pPr>
              <w:keepNext w:val="0"/>
              <w:keepLines w:val="0"/>
              <w:pageBreakBefore w:val="0"/>
              <w:kinsoku/>
              <w:wordWrap/>
              <w:overflowPunct/>
              <w:topLinePunct w:val="0"/>
              <w:autoSpaceDE/>
              <w:autoSpaceDN/>
              <w:bidi w:val="0"/>
              <w:adjustRightInd/>
              <w:snapToGrid/>
              <w:spacing w:line="280" w:lineRule="exact"/>
              <w:textAlignment w:val="auto"/>
              <w:rPr>
                <w:rFonts w:hint="eastAsia" w:ascii="方正仿宋_GBK" w:eastAsia="方正仿宋_GBK"/>
                <w:color w:val="auto"/>
                <w:kern w:val="2"/>
                <w:sz w:val="21"/>
                <w:szCs w:val="21"/>
                <w:lang w:val="en-US" w:eastAsia="zh-CN" w:bidi="ar-SA"/>
              </w:rPr>
            </w:pPr>
            <w:r>
              <w:rPr>
                <w:rFonts w:hint="eastAsia" w:ascii="方正仿宋_GBK" w:eastAsia="方正仿宋_GBK"/>
                <w:color w:val="auto"/>
                <w:sz w:val="21"/>
                <w:szCs w:val="21"/>
              </w:rPr>
              <w:t>联合体投标可以提供其中一家公司的证明凭据。</w:t>
            </w:r>
          </w:p>
        </w:tc>
      </w:tr>
      <w:tr w14:paraId="38419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2" w:type="pct"/>
            <w:vMerge w:val="continue"/>
            <w:noWrap w:val="0"/>
            <w:vAlign w:val="center"/>
          </w:tcPr>
          <w:p w14:paraId="6CD57805">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_GBK" w:eastAsia="方正仿宋_GBK"/>
                <w:color w:val="auto"/>
                <w:sz w:val="21"/>
                <w:szCs w:val="21"/>
              </w:rPr>
            </w:pPr>
          </w:p>
        </w:tc>
        <w:tc>
          <w:tcPr>
            <w:tcW w:w="657" w:type="pct"/>
            <w:vMerge w:val="continue"/>
            <w:noWrap w:val="0"/>
            <w:vAlign w:val="center"/>
          </w:tcPr>
          <w:p w14:paraId="4D523146">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_GBK" w:eastAsia="方正仿宋_GBK"/>
                <w:color w:val="auto"/>
                <w:sz w:val="21"/>
                <w:szCs w:val="21"/>
              </w:rPr>
            </w:pPr>
          </w:p>
        </w:tc>
        <w:tc>
          <w:tcPr>
            <w:tcW w:w="293" w:type="pct"/>
            <w:noWrap w:val="0"/>
            <w:vAlign w:val="center"/>
          </w:tcPr>
          <w:p w14:paraId="4FAB887F">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_GBK" w:eastAsia="方正仿宋_GBK"/>
                <w:color w:val="auto"/>
                <w:sz w:val="21"/>
                <w:szCs w:val="21"/>
                <w:lang w:val="en-US" w:eastAsia="zh-CN"/>
              </w:rPr>
            </w:pPr>
            <w:r>
              <w:rPr>
                <w:rFonts w:hint="eastAsia" w:ascii="方正仿宋_GBK" w:eastAsia="方正仿宋_GBK"/>
                <w:color w:val="auto"/>
                <w:sz w:val="21"/>
                <w:szCs w:val="21"/>
                <w:lang w:val="en-US" w:eastAsia="zh-CN"/>
              </w:rPr>
              <w:t>5</w:t>
            </w:r>
          </w:p>
        </w:tc>
        <w:tc>
          <w:tcPr>
            <w:tcW w:w="2104" w:type="pct"/>
            <w:noWrap w:val="0"/>
            <w:vAlign w:val="center"/>
          </w:tcPr>
          <w:p w14:paraId="5E968B23">
            <w:pPr>
              <w:keepNext w:val="0"/>
              <w:keepLines w:val="0"/>
              <w:pageBreakBefore w:val="0"/>
              <w:kinsoku/>
              <w:wordWrap/>
              <w:overflowPunct/>
              <w:topLinePunct w:val="0"/>
              <w:autoSpaceDE/>
              <w:autoSpaceDN/>
              <w:bidi w:val="0"/>
              <w:adjustRightInd/>
              <w:snapToGrid/>
              <w:spacing w:line="280" w:lineRule="exact"/>
              <w:textAlignment w:val="auto"/>
              <w:rPr>
                <w:rFonts w:hint="eastAsia" w:ascii="方正仿宋_GBK" w:eastAsia="方正仿宋_GBK"/>
                <w:color w:val="auto"/>
                <w:sz w:val="21"/>
                <w:szCs w:val="21"/>
              </w:rPr>
            </w:pPr>
            <w:r>
              <w:rPr>
                <w:rFonts w:hint="eastAsia" w:ascii="方正仿宋_GBK" w:eastAsia="方正仿宋_GBK"/>
                <w:color w:val="auto"/>
                <w:sz w:val="21"/>
                <w:szCs w:val="21"/>
              </w:rPr>
              <w:t>投标人配备专用配送车辆（自有或租赁均可</w:t>
            </w:r>
            <w:r>
              <w:rPr>
                <w:rFonts w:hint="eastAsia" w:ascii="方正仿宋_GBK" w:eastAsia="方正仿宋_GBK"/>
                <w:color w:val="auto"/>
                <w:sz w:val="21"/>
                <w:szCs w:val="21"/>
                <w:lang w:eastAsia="zh-CN"/>
              </w:rPr>
              <w:t>，</w:t>
            </w:r>
            <w:r>
              <w:rPr>
                <w:rFonts w:hint="eastAsia" w:ascii="方正仿宋_GBK" w:eastAsia="方正仿宋_GBK"/>
                <w:color w:val="auto"/>
                <w:sz w:val="21"/>
                <w:szCs w:val="21"/>
              </w:rPr>
              <w:t>须提供车辆租赁合同及行驶证复印件</w:t>
            </w:r>
            <w:r>
              <w:rPr>
                <w:rFonts w:hint="eastAsia" w:ascii="方正仿宋_GBK" w:eastAsia="方正仿宋_GBK"/>
                <w:color w:val="auto"/>
                <w:sz w:val="21"/>
                <w:szCs w:val="21"/>
                <w:lang w:val="en-US" w:eastAsia="zh-CN"/>
              </w:rPr>
              <w:t>等</w:t>
            </w:r>
            <w:r>
              <w:rPr>
                <w:rFonts w:hint="eastAsia" w:ascii="方正仿宋_GBK" w:eastAsia="方正仿宋_GBK"/>
                <w:color w:val="auto"/>
                <w:sz w:val="21"/>
                <w:szCs w:val="21"/>
              </w:rPr>
              <w:t>材料并加盖公章）</w:t>
            </w:r>
          </w:p>
        </w:tc>
        <w:tc>
          <w:tcPr>
            <w:tcW w:w="1611" w:type="pct"/>
            <w:noWrap w:val="0"/>
            <w:vAlign w:val="center"/>
          </w:tcPr>
          <w:p w14:paraId="11FCC888">
            <w:pPr>
              <w:keepNext w:val="0"/>
              <w:keepLines w:val="0"/>
              <w:pageBreakBefore w:val="0"/>
              <w:kinsoku/>
              <w:wordWrap/>
              <w:overflowPunct/>
              <w:topLinePunct w:val="0"/>
              <w:autoSpaceDE/>
              <w:autoSpaceDN/>
              <w:bidi w:val="0"/>
              <w:adjustRightInd/>
              <w:snapToGrid/>
              <w:spacing w:line="280" w:lineRule="exact"/>
              <w:textAlignment w:val="auto"/>
              <w:rPr>
                <w:rFonts w:hint="eastAsia" w:ascii="方正仿宋_GBK" w:eastAsia="方正仿宋_GBK"/>
                <w:color w:val="auto"/>
                <w:sz w:val="21"/>
                <w:szCs w:val="21"/>
              </w:rPr>
            </w:pPr>
            <w:r>
              <w:rPr>
                <w:rFonts w:hint="eastAsia" w:ascii="方正仿宋_GBK" w:eastAsia="方正仿宋_GBK"/>
                <w:color w:val="auto"/>
                <w:sz w:val="21"/>
                <w:szCs w:val="21"/>
              </w:rPr>
              <w:t>联合体投标可以提供其中一家公司的证明凭据。</w:t>
            </w:r>
          </w:p>
        </w:tc>
      </w:tr>
      <w:tr w14:paraId="64B32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5" w:hRule="atLeast"/>
          <w:jc w:val="center"/>
        </w:trPr>
        <w:tc>
          <w:tcPr>
            <w:tcW w:w="332" w:type="pct"/>
            <w:vMerge w:val="continue"/>
            <w:noWrap w:val="0"/>
            <w:vAlign w:val="center"/>
          </w:tcPr>
          <w:p w14:paraId="326F0CE7">
            <w:pPr>
              <w:keepNext w:val="0"/>
              <w:keepLines w:val="0"/>
              <w:pageBreakBefore w:val="0"/>
              <w:kinsoku/>
              <w:wordWrap/>
              <w:overflowPunct/>
              <w:topLinePunct w:val="0"/>
              <w:autoSpaceDE/>
              <w:autoSpaceDN/>
              <w:bidi w:val="0"/>
              <w:adjustRightInd/>
              <w:snapToGrid/>
              <w:spacing w:line="280" w:lineRule="exact"/>
              <w:textAlignment w:val="auto"/>
              <w:rPr>
                <w:color w:val="auto"/>
              </w:rPr>
            </w:pPr>
          </w:p>
        </w:tc>
        <w:tc>
          <w:tcPr>
            <w:tcW w:w="657" w:type="pct"/>
            <w:vMerge w:val="continue"/>
            <w:noWrap w:val="0"/>
            <w:vAlign w:val="center"/>
          </w:tcPr>
          <w:p w14:paraId="09BB9371">
            <w:pPr>
              <w:keepNext w:val="0"/>
              <w:keepLines w:val="0"/>
              <w:pageBreakBefore w:val="0"/>
              <w:kinsoku/>
              <w:wordWrap/>
              <w:overflowPunct/>
              <w:topLinePunct w:val="0"/>
              <w:autoSpaceDE/>
              <w:autoSpaceDN/>
              <w:bidi w:val="0"/>
              <w:adjustRightInd/>
              <w:snapToGrid/>
              <w:spacing w:line="280" w:lineRule="exact"/>
              <w:textAlignment w:val="auto"/>
              <w:rPr>
                <w:color w:val="auto"/>
              </w:rPr>
            </w:pPr>
          </w:p>
        </w:tc>
        <w:tc>
          <w:tcPr>
            <w:tcW w:w="293" w:type="pct"/>
            <w:vMerge w:val="restart"/>
            <w:noWrap w:val="0"/>
            <w:vAlign w:val="center"/>
          </w:tcPr>
          <w:p w14:paraId="1FB0DD54">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方正仿宋_GBK" w:hAnsi="Times New Roman" w:eastAsia="方正仿宋_GBK" w:cs="Times New Roman"/>
                <w:color w:val="auto"/>
                <w:sz w:val="21"/>
                <w:szCs w:val="21"/>
                <w:lang w:val="en-US" w:eastAsia="zh-CN"/>
              </w:rPr>
            </w:pPr>
            <w:r>
              <w:rPr>
                <w:rFonts w:hint="eastAsia" w:ascii="方正仿宋_GBK" w:hAnsi="Times New Roman" w:eastAsia="方正仿宋_GBK" w:cs="Times New Roman"/>
                <w:color w:val="auto"/>
                <w:sz w:val="21"/>
                <w:szCs w:val="21"/>
                <w:lang w:val="en-US" w:eastAsia="zh-CN"/>
              </w:rPr>
              <w:t>20</w:t>
            </w:r>
          </w:p>
        </w:tc>
        <w:tc>
          <w:tcPr>
            <w:tcW w:w="2104" w:type="pct"/>
            <w:noWrap w:val="0"/>
            <w:vAlign w:val="center"/>
          </w:tcPr>
          <w:p w14:paraId="6C04DA0A">
            <w:pPr>
              <w:keepNext w:val="0"/>
              <w:keepLines w:val="0"/>
              <w:pageBreakBefore w:val="0"/>
              <w:kinsoku/>
              <w:wordWrap/>
              <w:overflowPunct/>
              <w:topLinePunct w:val="0"/>
              <w:autoSpaceDE/>
              <w:autoSpaceDN/>
              <w:bidi w:val="0"/>
              <w:adjustRightInd/>
              <w:snapToGrid/>
              <w:spacing w:line="280" w:lineRule="exact"/>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lang w:val="en-US" w:eastAsia="zh-CN"/>
              </w:rPr>
              <w:t>1、投</w:t>
            </w:r>
            <w:r>
              <w:rPr>
                <w:rFonts w:hint="eastAsia" w:ascii="方正仿宋_GBK" w:hAnsi="方正仿宋_GBK" w:eastAsia="方正仿宋_GBK" w:cs="方正仿宋_GBK"/>
                <w:color w:val="auto"/>
                <w:sz w:val="21"/>
                <w:szCs w:val="21"/>
              </w:rPr>
              <w:t>标人针对本项目提供</w:t>
            </w:r>
            <w:r>
              <w:rPr>
                <w:rFonts w:hint="eastAsia" w:ascii="方正仿宋_GBK" w:hAnsi="方正仿宋_GBK" w:eastAsia="方正仿宋_GBK" w:cs="方正仿宋_GBK"/>
                <w:color w:val="auto"/>
                <w:sz w:val="21"/>
                <w:szCs w:val="21"/>
                <w:lang w:val="en-US" w:eastAsia="zh-CN"/>
              </w:rPr>
              <w:t>配送方案</w:t>
            </w:r>
            <w:r>
              <w:rPr>
                <w:rFonts w:hint="eastAsia" w:ascii="方正仿宋_GBK" w:hAnsi="方正仿宋_GBK" w:eastAsia="方正仿宋_GBK" w:cs="方正仿宋_GBK"/>
                <w:color w:val="auto"/>
                <w:sz w:val="21"/>
                <w:szCs w:val="21"/>
              </w:rPr>
              <w:t>，</w:t>
            </w:r>
            <w:r>
              <w:rPr>
                <w:rFonts w:hint="eastAsia" w:ascii="方正仿宋_GBK" w:hAnsi="方正仿宋_GBK" w:eastAsia="方正仿宋_GBK" w:cs="方正仿宋_GBK"/>
                <w:color w:val="auto"/>
                <w:sz w:val="21"/>
                <w:szCs w:val="21"/>
                <w:lang w:val="en-US" w:eastAsia="zh-CN"/>
              </w:rPr>
              <w:t>包含配送团队、车辆配置、配送流程等，</w:t>
            </w:r>
            <w:r>
              <w:rPr>
                <w:rFonts w:hint="eastAsia" w:ascii="方正仿宋_GBK" w:hAnsi="方正仿宋_GBK" w:eastAsia="方正仿宋_GBK" w:cs="方正仿宋_GBK"/>
                <w:color w:val="auto"/>
                <w:sz w:val="21"/>
                <w:szCs w:val="21"/>
              </w:rPr>
              <w:t>方案内容不存在瑕疵的，得</w:t>
            </w:r>
            <w:r>
              <w:rPr>
                <w:rFonts w:hint="eastAsia" w:ascii="方正仿宋_GBK" w:hAnsi="方正仿宋_GBK" w:eastAsia="方正仿宋_GBK" w:cs="方正仿宋_GBK"/>
                <w:color w:val="auto"/>
                <w:sz w:val="21"/>
                <w:szCs w:val="21"/>
                <w:lang w:val="en-US" w:eastAsia="zh-CN"/>
              </w:rPr>
              <w:t>10</w:t>
            </w:r>
            <w:r>
              <w:rPr>
                <w:rFonts w:hint="eastAsia" w:ascii="方正仿宋_GBK" w:hAnsi="方正仿宋_GBK" w:eastAsia="方正仿宋_GBK" w:cs="方正仿宋_GBK"/>
                <w:color w:val="auto"/>
                <w:sz w:val="21"/>
                <w:szCs w:val="21"/>
              </w:rPr>
              <w:t>分；方案内容存在1处瑕疵的，得</w:t>
            </w:r>
            <w:r>
              <w:rPr>
                <w:rFonts w:hint="eastAsia" w:ascii="方正仿宋_GBK" w:hAnsi="方正仿宋_GBK" w:eastAsia="方正仿宋_GBK" w:cs="方正仿宋_GBK"/>
                <w:color w:val="auto"/>
                <w:sz w:val="21"/>
                <w:szCs w:val="21"/>
                <w:lang w:val="en-US" w:eastAsia="zh-CN"/>
              </w:rPr>
              <w:t>7</w:t>
            </w:r>
            <w:r>
              <w:rPr>
                <w:rFonts w:hint="eastAsia" w:ascii="方正仿宋_GBK" w:hAnsi="方正仿宋_GBK" w:eastAsia="方正仿宋_GBK" w:cs="方正仿宋_GBK"/>
                <w:color w:val="auto"/>
                <w:sz w:val="21"/>
                <w:szCs w:val="21"/>
              </w:rPr>
              <w:t>分；方案内容存在2处瑕疵的，得</w:t>
            </w:r>
            <w:r>
              <w:rPr>
                <w:rFonts w:hint="eastAsia" w:ascii="方正仿宋_GBK" w:hAnsi="方正仿宋_GBK" w:eastAsia="方正仿宋_GBK" w:cs="方正仿宋_GBK"/>
                <w:color w:val="auto"/>
                <w:sz w:val="21"/>
                <w:szCs w:val="21"/>
                <w:lang w:val="en-US" w:eastAsia="zh-CN"/>
              </w:rPr>
              <w:t>4</w:t>
            </w:r>
            <w:r>
              <w:rPr>
                <w:rFonts w:hint="eastAsia" w:ascii="方正仿宋_GBK" w:hAnsi="方正仿宋_GBK" w:eastAsia="方正仿宋_GBK" w:cs="方正仿宋_GBK"/>
                <w:color w:val="auto"/>
                <w:sz w:val="21"/>
                <w:szCs w:val="21"/>
              </w:rPr>
              <w:t>分；方案内容存在3处及以上瑕疵或未提供方案不得分。</w:t>
            </w:r>
          </w:p>
        </w:tc>
        <w:tc>
          <w:tcPr>
            <w:tcW w:w="1611" w:type="pct"/>
            <w:vMerge w:val="restart"/>
            <w:noWrap w:val="0"/>
            <w:vAlign w:val="center"/>
          </w:tcPr>
          <w:p w14:paraId="1FD8B683">
            <w:pPr>
              <w:keepNext w:val="0"/>
              <w:keepLines w:val="0"/>
              <w:pageBreakBefore w:val="0"/>
              <w:kinsoku/>
              <w:wordWrap/>
              <w:overflowPunct/>
              <w:topLinePunct w:val="0"/>
              <w:autoSpaceDE/>
              <w:autoSpaceDN/>
              <w:bidi w:val="0"/>
              <w:adjustRightInd/>
              <w:snapToGrid/>
              <w:spacing w:line="280" w:lineRule="exact"/>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本项内容中所称的“瑕疵”指以下内容：</w:t>
            </w:r>
          </w:p>
          <w:p w14:paraId="6F5160AB">
            <w:pPr>
              <w:keepNext w:val="0"/>
              <w:keepLines w:val="0"/>
              <w:pageBreakBefore w:val="0"/>
              <w:kinsoku/>
              <w:wordWrap/>
              <w:overflowPunct/>
              <w:topLinePunct w:val="0"/>
              <w:autoSpaceDE/>
              <w:autoSpaceDN/>
              <w:bidi w:val="0"/>
              <w:adjustRightInd/>
              <w:snapToGrid/>
              <w:spacing w:line="280" w:lineRule="exact"/>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①方案内容内容缺项、内容表述不完整、不具体或缺少以上1-</w:t>
            </w:r>
            <w:r>
              <w:rPr>
                <w:rFonts w:hint="eastAsia" w:ascii="方正仿宋_GBK" w:hAnsi="方正仿宋_GBK" w:eastAsia="方正仿宋_GBK" w:cs="方正仿宋_GBK"/>
                <w:color w:val="auto"/>
                <w:sz w:val="21"/>
                <w:szCs w:val="21"/>
                <w:lang w:val="en-US" w:eastAsia="zh-CN"/>
              </w:rPr>
              <w:t>4</w:t>
            </w:r>
            <w:r>
              <w:rPr>
                <w:rFonts w:hint="eastAsia" w:ascii="方正仿宋_GBK" w:hAnsi="方正仿宋_GBK" w:eastAsia="方正仿宋_GBK" w:cs="方正仿宋_GBK"/>
                <w:color w:val="auto"/>
                <w:sz w:val="21"/>
                <w:szCs w:val="21"/>
              </w:rPr>
              <w:t>中任意一项内容的针对性分析或情况具体介绍</w:t>
            </w:r>
            <w:r>
              <w:rPr>
                <w:rFonts w:hint="eastAsia" w:ascii="方正仿宋_GBK" w:hAnsi="方正仿宋_GBK" w:eastAsia="方正仿宋_GBK" w:cs="方正仿宋_GBK"/>
                <w:color w:val="auto"/>
                <w:sz w:val="21"/>
                <w:szCs w:val="21"/>
                <w:lang w:eastAsia="zh-CN"/>
              </w:rPr>
              <w:t>，</w:t>
            </w:r>
            <w:r>
              <w:rPr>
                <w:rFonts w:hint="eastAsia" w:ascii="方正仿宋_GBK" w:hAnsi="方正仿宋_GBK" w:eastAsia="方正仿宋_GBK" w:cs="方正仿宋_GBK"/>
                <w:color w:val="auto"/>
                <w:sz w:val="21"/>
                <w:szCs w:val="21"/>
                <w:lang w:val="en-US" w:eastAsia="zh-CN"/>
              </w:rPr>
              <w:t>如“缺少配送团队人员数量及资质说明”“缺少车辆数量及型号说明”</w:t>
            </w:r>
            <w:r>
              <w:rPr>
                <w:rFonts w:hint="eastAsia" w:ascii="方正仿宋_GBK" w:hAnsi="方正仿宋_GBK" w:eastAsia="方正仿宋_GBK" w:cs="方正仿宋_GBK"/>
                <w:color w:val="auto"/>
                <w:sz w:val="21"/>
                <w:szCs w:val="21"/>
              </w:rPr>
              <w:t>；</w:t>
            </w:r>
          </w:p>
          <w:p w14:paraId="36BD3286">
            <w:pPr>
              <w:keepNext w:val="0"/>
              <w:keepLines w:val="0"/>
              <w:pageBreakBefore w:val="0"/>
              <w:kinsoku/>
              <w:wordWrap/>
              <w:overflowPunct/>
              <w:topLinePunct w:val="0"/>
              <w:autoSpaceDE/>
              <w:autoSpaceDN/>
              <w:bidi w:val="0"/>
              <w:adjustRightInd/>
              <w:snapToGrid/>
              <w:spacing w:line="280" w:lineRule="exact"/>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②方案内容表述前后矛盾、无连贯性；</w:t>
            </w:r>
          </w:p>
          <w:p w14:paraId="24395633">
            <w:pPr>
              <w:keepNext w:val="0"/>
              <w:keepLines w:val="0"/>
              <w:pageBreakBefore w:val="0"/>
              <w:kinsoku/>
              <w:wordWrap/>
              <w:overflowPunct/>
              <w:topLinePunct w:val="0"/>
              <w:autoSpaceDE/>
              <w:autoSpaceDN/>
              <w:bidi w:val="0"/>
              <w:adjustRightInd/>
              <w:snapToGrid/>
              <w:spacing w:line="280" w:lineRule="exact"/>
              <w:textAlignment w:val="auto"/>
              <w:rPr>
                <w:rFonts w:hint="eastAsia" w:ascii="方正仿宋_GBK" w:hAnsi="方正仿宋_GBK" w:eastAsia="方正仿宋_GBK" w:cs="方正仿宋_GBK"/>
                <w:color w:val="auto"/>
                <w:sz w:val="21"/>
                <w:szCs w:val="21"/>
                <w:lang w:eastAsia="zh-CN"/>
              </w:rPr>
            </w:pPr>
            <w:r>
              <w:rPr>
                <w:rFonts w:hint="eastAsia" w:ascii="方正仿宋_GBK" w:hAnsi="方正仿宋_GBK" w:eastAsia="方正仿宋_GBK" w:cs="方正仿宋_GBK"/>
                <w:color w:val="auto"/>
                <w:sz w:val="21"/>
                <w:szCs w:val="21"/>
              </w:rPr>
              <w:t>③方案内容存在逻辑漏洞、常识错误、配送流程</w:t>
            </w:r>
            <w:r>
              <w:rPr>
                <w:rFonts w:hint="eastAsia" w:ascii="方正仿宋_GBK" w:hAnsi="方正仿宋_GBK" w:eastAsia="方正仿宋_GBK" w:cs="方正仿宋_GBK"/>
                <w:color w:val="auto"/>
                <w:sz w:val="21"/>
                <w:szCs w:val="21"/>
                <w:lang w:val="en-US" w:eastAsia="zh-CN"/>
              </w:rPr>
              <w:t>未针对</w:t>
            </w:r>
            <w:r>
              <w:rPr>
                <w:rFonts w:hint="eastAsia" w:ascii="方正仿宋_GBK" w:hAnsi="方正仿宋_GBK" w:eastAsia="方正仿宋_GBK" w:cs="方正仿宋_GBK"/>
                <w:color w:val="auto"/>
                <w:sz w:val="21"/>
                <w:szCs w:val="21"/>
              </w:rPr>
              <w:t>本项目特性</w:t>
            </w:r>
            <w:r>
              <w:rPr>
                <w:rFonts w:hint="eastAsia" w:ascii="方正仿宋_GBK" w:hAnsi="方正仿宋_GBK" w:eastAsia="方正仿宋_GBK" w:cs="方正仿宋_GBK"/>
                <w:color w:val="auto"/>
                <w:sz w:val="21"/>
                <w:szCs w:val="21"/>
                <w:lang w:eastAsia="zh-CN"/>
              </w:rPr>
              <w:t>，</w:t>
            </w:r>
            <w:r>
              <w:rPr>
                <w:rFonts w:hint="eastAsia" w:ascii="方正仿宋_GBK" w:hAnsi="方正仿宋_GBK" w:eastAsia="方正仿宋_GBK" w:cs="方正仿宋_GBK"/>
                <w:color w:val="auto"/>
                <w:sz w:val="21"/>
                <w:szCs w:val="21"/>
                <w:lang w:val="en-US" w:eastAsia="zh-CN"/>
              </w:rPr>
              <w:t>如“未针对营养制剂冷链运输要求制定专项配送流程”</w:t>
            </w:r>
            <w:r>
              <w:rPr>
                <w:rFonts w:hint="eastAsia" w:ascii="方正仿宋_GBK" w:hAnsi="方正仿宋_GBK" w:eastAsia="方正仿宋_GBK" w:cs="方正仿宋_GBK"/>
                <w:color w:val="auto"/>
                <w:sz w:val="21"/>
                <w:szCs w:val="21"/>
                <w:lang w:eastAsia="zh-CN"/>
              </w:rPr>
              <w:t>。</w:t>
            </w:r>
          </w:p>
          <w:p w14:paraId="170E3AEF">
            <w:pPr>
              <w:keepNext w:val="0"/>
              <w:keepLines w:val="0"/>
              <w:pageBreakBefore w:val="0"/>
              <w:kinsoku/>
              <w:wordWrap/>
              <w:overflowPunct/>
              <w:topLinePunct w:val="0"/>
              <w:autoSpaceDE/>
              <w:autoSpaceDN/>
              <w:bidi w:val="0"/>
              <w:adjustRightInd/>
              <w:snapToGrid/>
              <w:spacing w:line="280" w:lineRule="exact"/>
              <w:textAlignment w:val="auto"/>
              <w:rPr>
                <w:rFonts w:hint="eastAsia" w:ascii="方正仿宋_GBK" w:hAnsi="方正仿宋_GBK" w:eastAsia="方正仿宋_GBK" w:cs="方正仿宋_GBK"/>
                <w:color w:val="auto"/>
                <w:sz w:val="21"/>
                <w:szCs w:val="21"/>
                <w:lang w:eastAsia="zh-CN"/>
              </w:rPr>
            </w:pPr>
            <w:r>
              <w:rPr>
                <w:rFonts w:hint="eastAsia" w:ascii="方正仿宋_GBK" w:hAnsi="方正仿宋_GBK" w:eastAsia="方正仿宋_GBK" w:cs="方正仿宋_GBK"/>
                <w:color w:val="auto"/>
                <w:sz w:val="21"/>
                <w:szCs w:val="21"/>
              </w:rPr>
              <w:t>④确保产品在配送过程中不被污染或损坏</w:t>
            </w:r>
            <w:r>
              <w:rPr>
                <w:rFonts w:hint="eastAsia" w:ascii="方正仿宋_GBK" w:hAnsi="方正仿宋_GBK" w:eastAsia="方正仿宋_GBK" w:cs="方正仿宋_GBK"/>
                <w:color w:val="auto"/>
                <w:sz w:val="21"/>
                <w:szCs w:val="21"/>
                <w:lang w:eastAsia="zh-CN"/>
              </w:rPr>
              <w:t>。</w:t>
            </w:r>
          </w:p>
        </w:tc>
      </w:tr>
      <w:tr w14:paraId="73587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5" w:hRule="atLeast"/>
          <w:jc w:val="center"/>
        </w:trPr>
        <w:tc>
          <w:tcPr>
            <w:tcW w:w="332" w:type="pct"/>
            <w:vMerge w:val="continue"/>
            <w:noWrap w:val="0"/>
            <w:vAlign w:val="center"/>
          </w:tcPr>
          <w:p w14:paraId="75F8D11E">
            <w:pPr>
              <w:keepNext w:val="0"/>
              <w:keepLines w:val="0"/>
              <w:pageBreakBefore w:val="0"/>
              <w:kinsoku/>
              <w:wordWrap/>
              <w:overflowPunct/>
              <w:topLinePunct w:val="0"/>
              <w:autoSpaceDE/>
              <w:autoSpaceDN/>
              <w:bidi w:val="0"/>
              <w:adjustRightInd/>
              <w:snapToGrid/>
              <w:spacing w:line="280" w:lineRule="exact"/>
              <w:textAlignment w:val="auto"/>
            </w:pPr>
          </w:p>
        </w:tc>
        <w:tc>
          <w:tcPr>
            <w:tcW w:w="657" w:type="pct"/>
            <w:vMerge w:val="continue"/>
            <w:noWrap w:val="0"/>
            <w:vAlign w:val="center"/>
          </w:tcPr>
          <w:p w14:paraId="1FAF0098">
            <w:pPr>
              <w:keepNext w:val="0"/>
              <w:keepLines w:val="0"/>
              <w:pageBreakBefore w:val="0"/>
              <w:kinsoku/>
              <w:wordWrap/>
              <w:overflowPunct/>
              <w:topLinePunct w:val="0"/>
              <w:autoSpaceDE/>
              <w:autoSpaceDN/>
              <w:bidi w:val="0"/>
              <w:adjustRightInd/>
              <w:snapToGrid/>
              <w:spacing w:line="280" w:lineRule="exact"/>
              <w:textAlignment w:val="auto"/>
            </w:pPr>
          </w:p>
        </w:tc>
        <w:tc>
          <w:tcPr>
            <w:tcW w:w="293" w:type="pct"/>
            <w:vMerge w:val="continue"/>
            <w:noWrap w:val="0"/>
            <w:vAlign w:val="center"/>
          </w:tcPr>
          <w:p w14:paraId="0AF5E661">
            <w:pPr>
              <w:keepNext w:val="0"/>
              <w:keepLines w:val="0"/>
              <w:pageBreakBefore w:val="0"/>
              <w:kinsoku/>
              <w:wordWrap/>
              <w:overflowPunct/>
              <w:topLinePunct w:val="0"/>
              <w:autoSpaceDE/>
              <w:autoSpaceDN/>
              <w:bidi w:val="0"/>
              <w:adjustRightInd/>
              <w:snapToGrid/>
              <w:spacing w:line="280" w:lineRule="exact"/>
              <w:textAlignment w:val="auto"/>
            </w:pPr>
          </w:p>
        </w:tc>
        <w:tc>
          <w:tcPr>
            <w:tcW w:w="2104" w:type="pct"/>
            <w:noWrap w:val="0"/>
            <w:vAlign w:val="center"/>
          </w:tcPr>
          <w:p w14:paraId="5BA74255">
            <w:pPr>
              <w:keepNext w:val="0"/>
              <w:keepLines w:val="0"/>
              <w:pageBreakBefore w:val="0"/>
              <w:kinsoku/>
              <w:wordWrap/>
              <w:overflowPunct/>
              <w:topLinePunct w:val="0"/>
              <w:autoSpaceDE/>
              <w:autoSpaceDN/>
              <w:bidi w:val="0"/>
              <w:adjustRightInd/>
              <w:snapToGrid/>
              <w:spacing w:line="280" w:lineRule="exact"/>
              <w:textAlignment w:val="auto"/>
              <w:rPr>
                <w:rFonts w:hint="eastAsia" w:ascii="方正仿宋_GBK" w:hAnsi="方正仿宋_GBK" w:eastAsia="方正仿宋_GBK" w:cs="方正仿宋_GBK"/>
                <w:color w:val="auto"/>
                <w:sz w:val="21"/>
                <w:szCs w:val="21"/>
                <w:lang w:val="en-US" w:eastAsia="zh-CN"/>
              </w:rPr>
            </w:pPr>
            <w:r>
              <w:rPr>
                <w:rFonts w:hint="eastAsia" w:ascii="方正仿宋_GBK" w:hAnsi="方正仿宋_GBK" w:eastAsia="方正仿宋_GBK" w:cs="方正仿宋_GBK"/>
                <w:color w:val="auto"/>
                <w:sz w:val="21"/>
                <w:szCs w:val="21"/>
                <w:lang w:val="en-US" w:eastAsia="zh-CN"/>
              </w:rPr>
              <w:t>2、投</w:t>
            </w:r>
            <w:r>
              <w:rPr>
                <w:rFonts w:hint="eastAsia" w:ascii="方正仿宋_GBK" w:hAnsi="方正仿宋_GBK" w:eastAsia="方正仿宋_GBK" w:cs="方正仿宋_GBK"/>
                <w:color w:val="auto"/>
                <w:sz w:val="21"/>
                <w:szCs w:val="21"/>
              </w:rPr>
              <w:t>标人针对本项目提供</w:t>
            </w:r>
            <w:r>
              <w:rPr>
                <w:rFonts w:hint="eastAsia" w:ascii="方正仿宋_GBK" w:hAnsi="方正仿宋_GBK" w:eastAsia="方正仿宋_GBK" w:cs="方正仿宋_GBK"/>
                <w:color w:val="auto"/>
                <w:sz w:val="21"/>
                <w:szCs w:val="21"/>
                <w:lang w:val="en-US" w:eastAsia="zh-CN"/>
              </w:rPr>
              <w:t>管理方案</w:t>
            </w:r>
            <w:r>
              <w:rPr>
                <w:rFonts w:hint="eastAsia" w:ascii="方正仿宋_GBK" w:hAnsi="方正仿宋_GBK" w:eastAsia="方正仿宋_GBK" w:cs="方正仿宋_GBK"/>
                <w:color w:val="auto"/>
                <w:sz w:val="21"/>
                <w:szCs w:val="21"/>
              </w:rPr>
              <w:t>，</w:t>
            </w:r>
            <w:r>
              <w:rPr>
                <w:rFonts w:hint="eastAsia" w:ascii="方正仿宋_GBK" w:hAnsi="方正仿宋_GBK" w:eastAsia="方正仿宋_GBK" w:cs="方正仿宋_GBK"/>
                <w:color w:val="auto"/>
                <w:sz w:val="21"/>
                <w:szCs w:val="21"/>
                <w:lang w:val="en-US" w:eastAsia="zh-CN"/>
              </w:rPr>
              <w:t>包含运营管理、食品安全管理、应急管理等，</w:t>
            </w:r>
            <w:r>
              <w:rPr>
                <w:rFonts w:hint="eastAsia" w:ascii="方正仿宋_GBK" w:hAnsi="方正仿宋_GBK" w:eastAsia="方正仿宋_GBK" w:cs="方正仿宋_GBK"/>
                <w:color w:val="auto"/>
                <w:sz w:val="21"/>
                <w:szCs w:val="21"/>
              </w:rPr>
              <w:t>方案内容不存在瑕疵的，得</w:t>
            </w:r>
            <w:r>
              <w:rPr>
                <w:rFonts w:hint="eastAsia" w:ascii="方正仿宋_GBK" w:hAnsi="方正仿宋_GBK" w:eastAsia="方正仿宋_GBK" w:cs="方正仿宋_GBK"/>
                <w:color w:val="auto"/>
                <w:sz w:val="21"/>
                <w:szCs w:val="21"/>
                <w:lang w:val="en-US" w:eastAsia="zh-CN"/>
              </w:rPr>
              <w:t>10</w:t>
            </w:r>
            <w:r>
              <w:rPr>
                <w:rFonts w:hint="eastAsia" w:ascii="方正仿宋_GBK" w:hAnsi="方正仿宋_GBK" w:eastAsia="方正仿宋_GBK" w:cs="方正仿宋_GBK"/>
                <w:color w:val="auto"/>
                <w:sz w:val="21"/>
                <w:szCs w:val="21"/>
              </w:rPr>
              <w:t>分；方案内容存在1处瑕疵的，得</w:t>
            </w:r>
            <w:r>
              <w:rPr>
                <w:rFonts w:hint="eastAsia" w:ascii="方正仿宋_GBK" w:hAnsi="方正仿宋_GBK" w:eastAsia="方正仿宋_GBK" w:cs="方正仿宋_GBK"/>
                <w:color w:val="auto"/>
                <w:sz w:val="21"/>
                <w:szCs w:val="21"/>
                <w:lang w:val="en-US" w:eastAsia="zh-CN"/>
              </w:rPr>
              <w:t>7</w:t>
            </w:r>
            <w:r>
              <w:rPr>
                <w:rFonts w:hint="eastAsia" w:ascii="方正仿宋_GBK" w:hAnsi="方正仿宋_GBK" w:eastAsia="方正仿宋_GBK" w:cs="方正仿宋_GBK"/>
                <w:color w:val="auto"/>
                <w:sz w:val="21"/>
                <w:szCs w:val="21"/>
              </w:rPr>
              <w:t>分；方案内容存在2处瑕疵的，得</w:t>
            </w:r>
            <w:r>
              <w:rPr>
                <w:rFonts w:hint="eastAsia" w:ascii="方正仿宋_GBK" w:hAnsi="方正仿宋_GBK" w:eastAsia="方正仿宋_GBK" w:cs="方正仿宋_GBK"/>
                <w:color w:val="auto"/>
                <w:sz w:val="21"/>
                <w:szCs w:val="21"/>
                <w:lang w:val="en-US" w:eastAsia="zh-CN"/>
              </w:rPr>
              <w:t>4</w:t>
            </w:r>
            <w:r>
              <w:rPr>
                <w:rFonts w:hint="eastAsia" w:ascii="方正仿宋_GBK" w:hAnsi="方正仿宋_GBK" w:eastAsia="方正仿宋_GBK" w:cs="方正仿宋_GBK"/>
                <w:color w:val="auto"/>
                <w:sz w:val="21"/>
                <w:szCs w:val="21"/>
              </w:rPr>
              <w:t>分；方案内容存在3处及以上瑕疵或未提供方案不得分。</w:t>
            </w:r>
          </w:p>
        </w:tc>
        <w:tc>
          <w:tcPr>
            <w:tcW w:w="1611" w:type="pct"/>
            <w:vMerge w:val="continue"/>
            <w:noWrap w:val="0"/>
            <w:vAlign w:val="center"/>
          </w:tcPr>
          <w:p w14:paraId="4B0D649B">
            <w:pPr>
              <w:keepNext w:val="0"/>
              <w:keepLines w:val="0"/>
              <w:pageBreakBefore w:val="0"/>
              <w:kinsoku/>
              <w:wordWrap/>
              <w:overflowPunct/>
              <w:topLinePunct w:val="0"/>
              <w:autoSpaceDE/>
              <w:autoSpaceDN/>
              <w:bidi w:val="0"/>
              <w:adjustRightInd/>
              <w:snapToGrid/>
              <w:spacing w:line="280" w:lineRule="exact"/>
              <w:textAlignment w:val="auto"/>
              <w:rPr>
                <w:rFonts w:hint="eastAsia" w:ascii="方正仿宋_GBK" w:hAnsi="方正仿宋_GBK" w:eastAsia="方正仿宋_GBK" w:cs="方正仿宋_GBK"/>
                <w:color w:val="auto"/>
                <w:sz w:val="21"/>
                <w:szCs w:val="21"/>
                <w:lang w:val="en-US" w:eastAsia="zh-CN"/>
              </w:rPr>
            </w:pPr>
          </w:p>
        </w:tc>
      </w:tr>
      <w:tr w14:paraId="785F2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0" w:hRule="atLeast"/>
          <w:jc w:val="center"/>
        </w:trPr>
        <w:tc>
          <w:tcPr>
            <w:tcW w:w="332" w:type="pct"/>
            <w:noWrap w:val="0"/>
            <w:vAlign w:val="center"/>
          </w:tcPr>
          <w:p w14:paraId="13F3ECFC">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_GBK" w:eastAsia="方正仿宋_GBK"/>
                <w:color w:val="auto"/>
                <w:sz w:val="21"/>
                <w:szCs w:val="21"/>
              </w:rPr>
            </w:pPr>
            <w:r>
              <w:rPr>
                <w:rFonts w:hint="eastAsia" w:ascii="方正仿宋_GBK" w:eastAsia="方正仿宋_GBK"/>
                <w:color w:val="auto"/>
                <w:sz w:val="21"/>
                <w:szCs w:val="21"/>
              </w:rPr>
              <w:t>3</w:t>
            </w:r>
          </w:p>
        </w:tc>
        <w:tc>
          <w:tcPr>
            <w:tcW w:w="657" w:type="pct"/>
            <w:noWrap w:val="0"/>
            <w:vAlign w:val="center"/>
          </w:tcPr>
          <w:p w14:paraId="6A9299B7">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_GBK" w:eastAsia="方正仿宋_GBK"/>
                <w:color w:val="auto"/>
                <w:sz w:val="21"/>
                <w:szCs w:val="21"/>
              </w:rPr>
            </w:pPr>
            <w:r>
              <w:rPr>
                <w:rFonts w:hint="eastAsia" w:ascii="方正仿宋_GBK" w:eastAsia="方正仿宋_GBK"/>
                <w:color w:val="auto"/>
                <w:sz w:val="21"/>
                <w:szCs w:val="21"/>
              </w:rPr>
              <w:t>商务部分</w:t>
            </w:r>
          </w:p>
        </w:tc>
        <w:tc>
          <w:tcPr>
            <w:tcW w:w="293" w:type="pct"/>
            <w:noWrap w:val="0"/>
            <w:vAlign w:val="center"/>
          </w:tcPr>
          <w:p w14:paraId="33EE611E">
            <w:pPr>
              <w:keepNext w:val="0"/>
              <w:keepLines w:val="0"/>
              <w:pageBreakBefore w:val="0"/>
              <w:kinsoku/>
              <w:wordWrap/>
              <w:overflowPunct/>
              <w:topLinePunct w:val="0"/>
              <w:autoSpaceDE/>
              <w:autoSpaceDN/>
              <w:bidi w:val="0"/>
              <w:adjustRightInd/>
              <w:snapToGrid/>
              <w:spacing w:line="280" w:lineRule="exact"/>
              <w:textAlignment w:val="auto"/>
              <w:rPr>
                <w:rFonts w:hint="eastAsia" w:ascii="方正仿宋_GBK" w:eastAsia="方正仿宋_GBK"/>
                <w:color w:val="auto"/>
                <w:sz w:val="21"/>
                <w:szCs w:val="21"/>
              </w:rPr>
            </w:pPr>
            <w:r>
              <w:rPr>
                <w:rFonts w:hint="eastAsia" w:ascii="方正仿宋_GBK" w:eastAsia="方正仿宋_GBK"/>
                <w:color w:val="auto"/>
                <w:sz w:val="21"/>
                <w:szCs w:val="21"/>
              </w:rPr>
              <w:t xml:space="preserve">  </w:t>
            </w:r>
          </w:p>
          <w:p w14:paraId="1F26CF30">
            <w:pPr>
              <w:keepNext w:val="0"/>
              <w:keepLines w:val="0"/>
              <w:pageBreakBefore w:val="0"/>
              <w:kinsoku/>
              <w:wordWrap/>
              <w:overflowPunct/>
              <w:topLinePunct w:val="0"/>
              <w:autoSpaceDE/>
              <w:autoSpaceDN/>
              <w:bidi w:val="0"/>
              <w:adjustRightInd/>
              <w:snapToGrid/>
              <w:spacing w:line="280" w:lineRule="exact"/>
              <w:textAlignment w:val="auto"/>
              <w:rPr>
                <w:rFonts w:hint="eastAsia" w:ascii="方正仿宋_GBK" w:eastAsia="方正仿宋_GBK"/>
                <w:color w:val="auto"/>
                <w:sz w:val="21"/>
                <w:szCs w:val="21"/>
              </w:rPr>
            </w:pPr>
            <w:r>
              <w:rPr>
                <w:rFonts w:hint="eastAsia" w:ascii="方正仿宋_GBK" w:eastAsia="方正仿宋_GBK"/>
                <w:color w:val="auto"/>
                <w:sz w:val="21"/>
                <w:szCs w:val="21"/>
              </w:rPr>
              <w:t xml:space="preserve"> </w:t>
            </w:r>
            <w:r>
              <w:rPr>
                <w:rFonts w:hint="eastAsia" w:ascii="方正仿宋_GBK" w:eastAsia="方正仿宋_GBK"/>
                <w:color w:val="auto"/>
                <w:sz w:val="21"/>
                <w:szCs w:val="21"/>
                <w:lang w:val="en-US" w:eastAsia="zh-CN"/>
              </w:rPr>
              <w:t>10</w:t>
            </w:r>
            <w:r>
              <w:rPr>
                <w:rFonts w:hint="eastAsia" w:ascii="方正仿宋_GBK" w:eastAsia="方正仿宋_GBK"/>
                <w:color w:val="auto"/>
                <w:sz w:val="21"/>
                <w:szCs w:val="21"/>
              </w:rPr>
              <w:t xml:space="preserve"> </w:t>
            </w:r>
          </w:p>
        </w:tc>
        <w:tc>
          <w:tcPr>
            <w:tcW w:w="2104" w:type="pct"/>
            <w:noWrap w:val="0"/>
            <w:vAlign w:val="center"/>
          </w:tcPr>
          <w:p w14:paraId="2F51122F">
            <w:pPr>
              <w:keepNext w:val="0"/>
              <w:keepLines w:val="0"/>
              <w:pageBreakBefore w:val="0"/>
              <w:kinsoku/>
              <w:wordWrap/>
              <w:overflowPunct/>
              <w:topLinePunct w:val="0"/>
              <w:autoSpaceDE/>
              <w:autoSpaceDN/>
              <w:bidi w:val="0"/>
              <w:adjustRightInd/>
              <w:snapToGrid/>
              <w:spacing w:line="280" w:lineRule="exact"/>
              <w:textAlignment w:val="auto"/>
              <w:rPr>
                <w:rFonts w:hint="eastAsia" w:ascii="方正仿宋_GBK" w:hAnsi="Times New Roman" w:eastAsia="方正仿宋_GBK" w:cs="Times New Roman"/>
                <w:color w:val="auto"/>
                <w:sz w:val="21"/>
                <w:szCs w:val="21"/>
              </w:rPr>
            </w:pPr>
            <w:r>
              <w:rPr>
                <w:rFonts w:hint="eastAsia" w:ascii="方正仿宋_GBK" w:hAnsi="Times New Roman" w:eastAsia="方正仿宋_GBK" w:cs="Times New Roman"/>
                <w:color w:val="auto"/>
                <w:sz w:val="21"/>
                <w:szCs w:val="21"/>
              </w:rPr>
              <w:t>投标人在配送营养品业绩证明，每提供一份得2分，最多得10分。</w:t>
            </w:r>
          </w:p>
        </w:tc>
        <w:tc>
          <w:tcPr>
            <w:tcW w:w="1611" w:type="pct"/>
            <w:tcBorders>
              <w:bottom w:val="single" w:color="auto" w:sz="4" w:space="0"/>
            </w:tcBorders>
            <w:noWrap w:val="0"/>
            <w:vAlign w:val="center"/>
          </w:tcPr>
          <w:p w14:paraId="1BC790C9">
            <w:pPr>
              <w:keepNext w:val="0"/>
              <w:keepLines w:val="0"/>
              <w:pageBreakBefore w:val="0"/>
              <w:kinsoku/>
              <w:wordWrap/>
              <w:overflowPunct/>
              <w:topLinePunct w:val="0"/>
              <w:autoSpaceDE/>
              <w:autoSpaceDN/>
              <w:bidi w:val="0"/>
              <w:adjustRightInd/>
              <w:snapToGrid/>
              <w:spacing w:line="280" w:lineRule="exact"/>
              <w:textAlignment w:val="auto"/>
              <w:rPr>
                <w:rFonts w:hint="eastAsia" w:ascii="方正仿宋_GBK" w:eastAsia="方正仿宋_GBK"/>
                <w:color w:val="auto"/>
                <w:sz w:val="21"/>
                <w:szCs w:val="21"/>
              </w:rPr>
            </w:pPr>
            <w:r>
              <w:rPr>
                <w:rFonts w:hint="eastAsia" w:ascii="方正仿宋_GBK" w:eastAsia="方正仿宋_GBK"/>
                <w:color w:val="auto"/>
                <w:sz w:val="21"/>
                <w:szCs w:val="21"/>
              </w:rPr>
              <w:t>提供合同复印件加盖投标人公章</w:t>
            </w:r>
          </w:p>
        </w:tc>
      </w:tr>
    </w:tbl>
    <w:p w14:paraId="0D0EEE35">
      <w:pPr>
        <w:numPr>
          <w:ilvl w:val="0"/>
          <w:numId w:val="0"/>
        </w:numPr>
        <w:ind w:firstLine="420" w:firstLineChars="200"/>
        <w:rPr>
          <w:rFonts w:hint="default"/>
          <w:lang w:val="en-US" w:eastAsia="zh-CN"/>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embedRegular r:id="rId1" w:fontKey="{20F96201-4C75-4EA9-822D-2DE729151F51}"/>
  </w:font>
  <w:font w:name="方正仿宋_GBK">
    <w:panose1 w:val="03000509000000000000"/>
    <w:charset w:val="86"/>
    <w:family w:val="script"/>
    <w:pitch w:val="default"/>
    <w:sig w:usb0="00000001" w:usb1="080E0000" w:usb2="00000000" w:usb3="00000000" w:csb0="00040000" w:csb1="00000000"/>
    <w:embedRegular r:id="rId2" w:fontKey="{6F6A2EA7-426F-4879-A4D5-93EFB0CA908A}"/>
  </w:font>
  <w:font w:name="方正仿宋_GB2312">
    <w:panose1 w:val="02000000000000000000"/>
    <w:charset w:val="86"/>
    <w:family w:val="auto"/>
    <w:pitch w:val="default"/>
    <w:sig w:usb0="A00002BF" w:usb1="184F6CFA" w:usb2="00000012" w:usb3="00000000" w:csb0="00040001" w:csb1="00000000"/>
    <w:embedRegular r:id="rId3" w:fontKey="{C3E75F13-FD9C-44E2-A114-9C813A05B35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0C90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635F90">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6635F90">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8F2043"/>
    <w:multiLevelType w:val="singleLevel"/>
    <w:tmpl w:val="9D8F2043"/>
    <w:lvl w:ilvl="0" w:tentative="0">
      <w:start w:val="2"/>
      <w:numFmt w:val="chineseCounting"/>
      <w:suff w:val="nothing"/>
      <w:lvlText w:val="%1、"/>
      <w:lvlJc w:val="left"/>
      <w:rPr>
        <w:rFonts w:hint="eastAsia"/>
      </w:rPr>
    </w:lvl>
  </w:abstractNum>
  <w:abstractNum w:abstractNumId="1">
    <w:nsid w:val="1F5F1221"/>
    <w:multiLevelType w:val="singleLevel"/>
    <w:tmpl w:val="1F5F1221"/>
    <w:lvl w:ilvl="0" w:tentative="0">
      <w:start w:val="1"/>
      <w:numFmt w:val="chineseCounting"/>
      <w:pStyle w:val="2"/>
      <w:suff w:val="nothing"/>
      <w:lvlText w:val="%1、"/>
      <w:lvlJc w:val="left"/>
      <w:pPr>
        <w:ind w:left="0" w:firstLine="4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B35BB5"/>
    <w:rsid w:val="06940F6E"/>
    <w:rsid w:val="079923C4"/>
    <w:rsid w:val="09A80264"/>
    <w:rsid w:val="1CC35702"/>
    <w:rsid w:val="23895EA1"/>
    <w:rsid w:val="2AB35BB5"/>
    <w:rsid w:val="31590542"/>
    <w:rsid w:val="40D84324"/>
    <w:rsid w:val="52600F5C"/>
    <w:rsid w:val="552C4EEB"/>
    <w:rsid w:val="6EE963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numPr>
        <w:ilvl w:val="0"/>
        <w:numId w:val="1"/>
      </w:numPr>
      <w:adjustRightInd w:val="0"/>
      <w:snapToGrid w:val="0"/>
      <w:spacing w:line="360" w:lineRule="auto"/>
      <w:outlineLvl w:val="1"/>
    </w:pPr>
    <w:rPr>
      <w:rFonts w:ascii="宋体" w:hAnsi="宋体" w:eastAsia="宋体"/>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9765</Words>
  <Characters>12664</Characters>
  <Lines>0</Lines>
  <Paragraphs>0</Paragraphs>
  <TotalTime>2</TotalTime>
  <ScaleCrop>false</ScaleCrop>
  <LinksUpToDate>false</LinksUpToDate>
  <CharactersWithSpaces>13007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2026-08-27T03:42:00Z</dcterms:created>
  <dc:creator>小朋友提不起劲</dc:creator>
  <cp:lastModifiedBy>小朋友提不起劲</cp:lastModifiedBy>
  <dcterms:modified xsi:type="dcterms:W3CDTF">2026-10-19T03:53:06Z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E4C263ED5B41420CA180EA97A3863B22_11</vt:lpwstr>
  </property>
  <property fmtid="{D5CDD505-2E9C-101B-9397-08002B2CF9AE}" pid="4" name="KSOTemplateDocerSaveRecord">
    <vt:lpwstr>eyJoZGlkIjoiZTk0NTNmNjk1YTkyNzIzNThjNjFmNDhiYWFhNWU0NTciLCJ1c2VySWQiOiI1NzIyNzMxMjMifQ==</vt:lpwstr>
  </property>
</Properties>
</file>