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B3181">
      <w:pPr>
        <w:spacing w:line="360" w:lineRule="auto"/>
        <w:ind w:firstLine="643" w:firstLineChars="200"/>
        <w:jc w:val="center"/>
        <w:rPr>
          <w:rFonts w:ascii="Times New Roman" w:hAnsi="Times New Roman" w:eastAsia="方正仿宋_GB2312" w:cs="Times New Roman"/>
          <w:b/>
          <w:bCs/>
          <w:color w:val="auto"/>
          <w:sz w:val="32"/>
          <w:szCs w:val="32"/>
        </w:rPr>
      </w:pPr>
      <w:r>
        <w:rPr>
          <w:rFonts w:ascii="Times New Roman" w:hAnsi="Times New Roman" w:eastAsia="方正仿宋_GB2312" w:cs="Times New Roman"/>
          <w:b/>
          <w:bCs/>
          <w:color w:val="auto"/>
          <w:sz w:val="32"/>
          <w:szCs w:val="32"/>
        </w:rPr>
        <w:t>综合能源项目技术参数及遴选要求</w:t>
      </w:r>
    </w:p>
    <w:p w14:paraId="6291D430">
      <w:pPr>
        <w:spacing w:line="360" w:lineRule="auto"/>
        <w:ind w:firstLine="562" w:firstLineChars="200"/>
        <w:rPr>
          <w:rFonts w:ascii="Times New Roman" w:hAnsi="Times New Roman" w:eastAsia="方正仿宋_GB2312" w:cs="Times New Roman"/>
          <w:b/>
          <w:bCs/>
          <w:color w:val="auto"/>
          <w:sz w:val="28"/>
          <w:szCs w:val="28"/>
        </w:rPr>
      </w:pPr>
      <w:r>
        <w:rPr>
          <w:rFonts w:ascii="Times New Roman" w:hAnsi="Times New Roman" w:eastAsia="方正仿宋_GB2312" w:cs="Times New Roman"/>
          <w:b/>
          <w:bCs/>
          <w:color w:val="auto"/>
          <w:sz w:val="28"/>
          <w:szCs w:val="28"/>
        </w:rPr>
        <w:t>第一篇  项目技术参数</w:t>
      </w:r>
    </w:p>
    <w:p w14:paraId="53E2B065">
      <w:pPr>
        <w:spacing w:line="360" w:lineRule="auto"/>
        <w:ind w:firstLine="562" w:firstLineChars="200"/>
        <w:rPr>
          <w:rFonts w:ascii="Times New Roman" w:hAnsi="Times New Roman" w:eastAsia="方正仿宋_GB2312" w:cs="Times New Roman"/>
          <w:b/>
          <w:bCs/>
          <w:color w:val="auto"/>
          <w:sz w:val="28"/>
          <w:szCs w:val="28"/>
        </w:rPr>
      </w:pPr>
      <w:r>
        <w:rPr>
          <w:rFonts w:ascii="Times New Roman" w:hAnsi="Times New Roman" w:eastAsia="方正仿宋_GB2312" w:cs="Times New Roman"/>
          <w:b/>
          <w:bCs/>
          <w:color w:val="auto"/>
          <w:sz w:val="28"/>
          <w:szCs w:val="28"/>
        </w:rPr>
        <w:t>一、项目概况</w:t>
      </w:r>
      <w:bookmarkStart w:id="2" w:name="_GoBack"/>
      <w:bookmarkEnd w:id="2"/>
    </w:p>
    <w:p w14:paraId="47DB00C0">
      <w:pPr>
        <w:spacing w:line="360" w:lineRule="auto"/>
        <w:rPr>
          <w:rFonts w:ascii="Times New Roman" w:hAnsi="Times New Roman" w:eastAsia="方正仿宋_GB2312" w:cs="Times New Roman"/>
          <w:b/>
          <w:bCs/>
          <w:color w:val="auto"/>
          <w:sz w:val="28"/>
          <w:szCs w:val="28"/>
        </w:rPr>
      </w:pPr>
      <w:r>
        <w:rPr>
          <w:rFonts w:ascii="Times New Roman" w:hAnsi="Times New Roman" w:eastAsia="方正仿宋_GB2312" w:cs="Times New Roman"/>
          <w:b/>
          <w:bCs/>
          <w:color w:val="auto"/>
          <w:sz w:val="28"/>
          <w:szCs w:val="28"/>
        </w:rPr>
        <w:t xml:space="preserve">    </w:t>
      </w:r>
      <w:r>
        <w:rPr>
          <w:rFonts w:ascii="Times New Roman" w:hAnsi="Times New Roman" w:eastAsia="方正仿宋_GB2312" w:cs="Times New Roman"/>
          <w:color w:val="auto"/>
          <w:sz w:val="28"/>
          <w:szCs w:val="28"/>
        </w:rPr>
        <w:t>在重庆市大足区人民医院指定地点安装分布式光伏电站与电力储能系统建设及运营，光伏电站及储能系统一并</w:t>
      </w:r>
      <w:r>
        <w:rPr>
          <w:rFonts w:hint="eastAsia" w:ascii="Times New Roman" w:hAnsi="Times New Roman" w:eastAsia="方正仿宋_GB2312" w:cs="Times New Roman"/>
          <w:color w:val="auto"/>
          <w:sz w:val="28"/>
          <w:szCs w:val="28"/>
        </w:rPr>
        <w:t>接</w:t>
      </w:r>
      <w:r>
        <w:rPr>
          <w:rFonts w:ascii="Times New Roman" w:hAnsi="Times New Roman" w:eastAsia="方正仿宋_GB2312" w:cs="Times New Roman"/>
          <w:color w:val="auto"/>
          <w:sz w:val="28"/>
          <w:szCs w:val="28"/>
        </w:rPr>
        <w:t>入院区配电房供电系统。</w:t>
      </w:r>
    </w:p>
    <w:p w14:paraId="54F9416B">
      <w:pPr>
        <w:spacing w:line="360" w:lineRule="auto"/>
        <w:ind w:firstLine="562" w:firstLineChars="200"/>
        <w:rPr>
          <w:rFonts w:ascii="Times New Roman" w:hAnsi="Times New Roman" w:eastAsia="方正仿宋_GB2312" w:cs="Times New Roman"/>
          <w:b/>
          <w:bCs/>
          <w:color w:val="auto"/>
          <w:sz w:val="28"/>
          <w:szCs w:val="28"/>
        </w:rPr>
      </w:pPr>
      <w:r>
        <w:rPr>
          <w:rFonts w:ascii="Times New Roman" w:hAnsi="Times New Roman" w:eastAsia="方正仿宋_GB2312" w:cs="Times New Roman"/>
          <w:b/>
          <w:bCs/>
          <w:color w:val="auto"/>
          <w:sz w:val="28"/>
          <w:szCs w:val="28"/>
        </w:rPr>
        <w:t>二、合作模式</w:t>
      </w:r>
    </w:p>
    <w:p w14:paraId="794F9AE8">
      <w:pPr>
        <w:spacing w:line="360" w:lineRule="auto"/>
        <w:ind w:firstLine="560" w:firstLineChars="200"/>
        <w:rPr>
          <w:rFonts w:ascii="Times New Roman" w:hAnsi="Times New Roman" w:eastAsia="方正仿宋_GB2312" w:cs="Times New Roman"/>
          <w:color w:val="auto"/>
          <w:kern w:val="0"/>
          <w:sz w:val="32"/>
          <w:szCs w:val="32"/>
          <w:lang w:bidi="ar"/>
          <w14:ligatures w14:val="standardContextual"/>
        </w:rPr>
      </w:pPr>
      <w:r>
        <w:rPr>
          <w:rFonts w:ascii="Times New Roman" w:hAnsi="Times New Roman" w:eastAsia="方正仿宋_GB2312" w:cs="Times New Roman"/>
          <w:color w:val="auto"/>
          <w:sz w:val="28"/>
          <w:szCs w:val="28"/>
        </w:rPr>
        <w:t>本项目将采用投资、建设、运营一体化模式，潜在合作单位一旦获得建设资格，则需全额出资完成从项目设计、设备主材和辅材、施工、接入、并网、调试、验收的全流程工作并承担</w:t>
      </w:r>
      <w:r>
        <w:rPr>
          <w:rFonts w:hint="eastAsia" w:ascii="Times New Roman" w:hAnsi="Times New Roman" w:eastAsia="方正仿宋_GB2312" w:cs="Times New Roman"/>
          <w:color w:val="auto"/>
          <w:sz w:val="28"/>
          <w:szCs w:val="28"/>
        </w:rPr>
        <w:t>合同履约期间</w:t>
      </w:r>
      <w:r>
        <w:rPr>
          <w:rFonts w:ascii="Times New Roman" w:hAnsi="Times New Roman" w:eastAsia="方正仿宋_GB2312" w:cs="Times New Roman"/>
          <w:color w:val="auto"/>
          <w:sz w:val="28"/>
          <w:szCs w:val="28"/>
        </w:rPr>
        <w:t>的运行维护工作。屋顶分布式光伏项目并网发电后，合作单位需按遴选</w:t>
      </w:r>
      <w:r>
        <w:rPr>
          <w:rFonts w:hint="eastAsia" w:ascii="Times New Roman" w:hAnsi="Times New Roman" w:eastAsia="方正仿宋_GB2312" w:cs="Times New Roman"/>
          <w:color w:val="auto"/>
          <w:sz w:val="28"/>
          <w:szCs w:val="28"/>
        </w:rPr>
        <w:t>中标</w:t>
      </w:r>
      <w:r>
        <w:rPr>
          <w:rFonts w:ascii="Times New Roman" w:hAnsi="Times New Roman" w:eastAsia="方正仿宋_GB2312" w:cs="Times New Roman"/>
          <w:color w:val="auto"/>
          <w:sz w:val="28"/>
          <w:szCs w:val="28"/>
        </w:rPr>
        <w:t>电价供给重庆市大足区人民医院使用，并对工程的安全、环保、质量、工期，以及</w:t>
      </w:r>
      <w:r>
        <w:rPr>
          <w:rFonts w:hint="eastAsia" w:ascii="Times New Roman" w:hAnsi="Times New Roman" w:eastAsia="方正仿宋_GB2312" w:cs="Times New Roman"/>
          <w:color w:val="auto"/>
          <w:sz w:val="28"/>
          <w:szCs w:val="28"/>
        </w:rPr>
        <w:t>合同履约期间</w:t>
      </w:r>
      <w:r>
        <w:rPr>
          <w:rFonts w:ascii="Times New Roman" w:hAnsi="Times New Roman" w:eastAsia="方正仿宋_GB2312" w:cs="Times New Roman"/>
          <w:color w:val="auto"/>
          <w:sz w:val="28"/>
          <w:szCs w:val="28"/>
        </w:rPr>
        <w:t>的运维服务全面负责；电力储能系统投入使用后，对运营中因峰、谷、平电价差额所产生的电费差额进行收益分成，合作单位需对电力储能设备的安全、环保、质量、工期，以及</w:t>
      </w:r>
      <w:r>
        <w:rPr>
          <w:rFonts w:hint="eastAsia" w:ascii="Times New Roman" w:hAnsi="Times New Roman" w:eastAsia="方正仿宋_GB2312" w:cs="Times New Roman"/>
          <w:color w:val="auto"/>
          <w:sz w:val="28"/>
          <w:szCs w:val="28"/>
        </w:rPr>
        <w:t>合同履约期间</w:t>
      </w:r>
      <w:r>
        <w:rPr>
          <w:rFonts w:ascii="Times New Roman" w:hAnsi="Times New Roman" w:eastAsia="方正仿宋_GB2312" w:cs="Times New Roman"/>
          <w:color w:val="auto"/>
          <w:sz w:val="28"/>
          <w:szCs w:val="28"/>
        </w:rPr>
        <w:t>的运维服务全面负责。合作单位在合同期内不得出售或转让项目资产。</w:t>
      </w:r>
    </w:p>
    <w:p w14:paraId="7DF6ABD7">
      <w:pPr>
        <w:spacing w:line="360" w:lineRule="auto"/>
        <w:ind w:firstLine="562" w:firstLineChars="200"/>
        <w:rPr>
          <w:rFonts w:ascii="Times New Roman" w:hAnsi="Times New Roman" w:eastAsia="方正仿宋_GB2312" w:cs="Times New Roman"/>
          <w:b/>
          <w:bCs/>
          <w:color w:val="auto"/>
          <w:sz w:val="28"/>
          <w:szCs w:val="28"/>
        </w:rPr>
      </w:pPr>
      <w:r>
        <w:rPr>
          <w:rFonts w:ascii="Times New Roman" w:hAnsi="Times New Roman" w:eastAsia="方正仿宋_GB2312" w:cs="Times New Roman"/>
          <w:b/>
          <w:bCs/>
          <w:color w:val="auto"/>
          <w:sz w:val="28"/>
          <w:szCs w:val="28"/>
        </w:rPr>
        <w:t>三、合作单位资质要求</w:t>
      </w:r>
    </w:p>
    <w:p w14:paraId="7B2B5728">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1.提供有效年检的营业执照（副本复印件），且</w:t>
      </w:r>
      <w:r>
        <w:rPr>
          <w:rFonts w:ascii="Times New Roman" w:hAnsi="Times New Roman" w:eastAsia="方正仿宋_GB2312" w:cs="Times New Roman"/>
          <w:color w:val="auto"/>
          <w:sz w:val="28"/>
          <w:szCs w:val="28"/>
          <w:lang w:val="zh-CN"/>
        </w:rPr>
        <w:t>经营范围应至少具备：发电业务、输电业务、供（配）电业务；输电、供电、受电电力设施的安装、维修和试验；太阳能发电技术服务</w:t>
      </w:r>
      <w:r>
        <w:rPr>
          <w:rFonts w:ascii="Times New Roman" w:hAnsi="Times New Roman" w:eastAsia="方正仿宋_GB2312" w:cs="Times New Roman"/>
          <w:color w:val="auto"/>
          <w:sz w:val="28"/>
          <w:szCs w:val="28"/>
        </w:rPr>
        <w:t>；</w:t>
      </w:r>
    </w:p>
    <w:p w14:paraId="48BB83B4">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2.法定代表人身份授权书,法定代表人与授权代表身份证复印件；</w:t>
      </w:r>
    </w:p>
    <w:p w14:paraId="5CB87910">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3.具有良好的商业信誉和健全的财务会计制度（提供承诺函）；</w:t>
      </w:r>
    </w:p>
    <w:p w14:paraId="2C095180">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4.具有履行合同所必需的设备和专业技术能力（提供承诺函）；</w:t>
      </w:r>
    </w:p>
    <w:p w14:paraId="7C886A8C">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5.有依法缴纳税收和社会保障资金的良好记录（提供承诺函）；</w:t>
      </w:r>
    </w:p>
    <w:p w14:paraId="186C6EE7">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6.</w:t>
      </w:r>
      <w:bookmarkStart w:id="0" w:name="OLE_LINK1"/>
      <w:bookmarkStart w:id="1" w:name="OLE_LINK2"/>
      <w:r>
        <w:rPr>
          <w:rFonts w:ascii="Times New Roman" w:hAnsi="Times New Roman" w:eastAsia="方正仿宋_GB2312" w:cs="Times New Roman"/>
          <w:color w:val="auto"/>
          <w:sz w:val="28"/>
          <w:szCs w:val="28"/>
        </w:rPr>
        <w:t>按照《财政部关于在政府采购活动中查询及使用信用记录有关问题的通知》财库〔2016〕125号，被列入失信被执行人、重大税收违法案件当事人名单、政府采购严重违法失信行为记录名单及其他不符合《中华人民共和国政府采购法》第二十二条规定条件的</w:t>
      </w:r>
      <w:bookmarkEnd w:id="0"/>
      <w:bookmarkEnd w:id="1"/>
      <w:r>
        <w:rPr>
          <w:rFonts w:ascii="Times New Roman" w:hAnsi="Times New Roman" w:eastAsia="方正仿宋_GB2312" w:cs="Times New Roman"/>
          <w:color w:val="auto"/>
          <w:sz w:val="28"/>
          <w:szCs w:val="28"/>
        </w:rPr>
        <w:t>参选单位，将拒绝其参与遴选。</w:t>
      </w:r>
    </w:p>
    <w:p w14:paraId="12E75914">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7.近三年内，参选单位未在经营活动中因违法行为（包括消防安全等问题）受到刑事处罚、处以罚款或者没收财产5万元以上、责令停产停业、吊销许可证或者执照等行政处罚（提供承诺函）；</w:t>
      </w:r>
    </w:p>
    <w:p w14:paraId="505120D7">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8.反商业贿赂承诺书；</w:t>
      </w:r>
    </w:p>
    <w:p w14:paraId="5365CA5F">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9.参选单位遵守遴选纪律承诺书（提供承诺函）；</w:t>
      </w:r>
    </w:p>
    <w:p w14:paraId="0311786E">
      <w:pPr>
        <w:spacing w:line="360" w:lineRule="auto"/>
        <w:ind w:firstLine="560" w:firstLineChars="200"/>
        <w:rPr>
          <w:rFonts w:ascii="Times New Roman" w:hAnsi="Times New Roman" w:eastAsia="方正仿宋_GB2312" w:cs="Times New Roman"/>
          <w:color w:val="auto"/>
          <w:sz w:val="28"/>
          <w:szCs w:val="28"/>
          <w:lang w:val="zh-CN"/>
        </w:rPr>
      </w:pPr>
      <w:r>
        <w:rPr>
          <w:rFonts w:ascii="Times New Roman" w:hAnsi="Times New Roman" w:eastAsia="方正仿宋_GB2312" w:cs="Times New Roman"/>
          <w:color w:val="auto"/>
          <w:sz w:val="28"/>
          <w:szCs w:val="28"/>
        </w:rPr>
        <w:t>10.</w:t>
      </w:r>
      <w:r>
        <w:rPr>
          <w:rFonts w:ascii="Times New Roman" w:hAnsi="Times New Roman" w:eastAsia="方正仿宋_GB2312" w:cs="Times New Roman"/>
          <w:color w:val="auto"/>
          <w:sz w:val="28"/>
          <w:szCs w:val="28"/>
          <w:lang w:val="zh-CN"/>
        </w:rPr>
        <w:t>投标人须具有自2024年1月1日以来（以合同签订时间为准），至少</w:t>
      </w:r>
      <w:r>
        <w:rPr>
          <w:rFonts w:ascii="Times New Roman" w:hAnsi="Times New Roman" w:eastAsia="方正仿宋_GB2312" w:cs="Times New Roman"/>
          <w:color w:val="auto"/>
          <w:sz w:val="28"/>
          <w:szCs w:val="28"/>
        </w:rPr>
        <w:t>提供1个</w:t>
      </w:r>
      <w:r>
        <w:rPr>
          <w:rFonts w:ascii="Times New Roman" w:hAnsi="Times New Roman" w:eastAsia="方正仿宋_GB2312" w:cs="Times New Roman"/>
          <w:color w:val="auto"/>
          <w:sz w:val="28"/>
          <w:szCs w:val="28"/>
          <w:lang w:val="zh-CN"/>
        </w:rPr>
        <w:t>投资、建设、运营</w:t>
      </w:r>
      <w:r>
        <w:rPr>
          <w:rFonts w:ascii="Times New Roman" w:hAnsi="Times New Roman" w:eastAsia="方正仿宋_GB2312" w:cs="Times New Roman"/>
          <w:color w:val="auto"/>
          <w:sz w:val="28"/>
          <w:szCs w:val="28"/>
        </w:rPr>
        <w:t>分布式光伏项目或储能项目或光伏+储能联动的</w:t>
      </w:r>
      <w:r>
        <w:rPr>
          <w:rFonts w:ascii="Times New Roman" w:hAnsi="Times New Roman" w:eastAsia="方正仿宋_GB2312" w:cs="Times New Roman"/>
          <w:color w:val="auto"/>
          <w:sz w:val="28"/>
          <w:szCs w:val="28"/>
          <w:lang w:val="zh-CN"/>
        </w:rPr>
        <w:t>电站项目相关业绩（</w:t>
      </w:r>
      <w:r>
        <w:rPr>
          <w:rFonts w:ascii="Times New Roman" w:hAnsi="Times New Roman" w:eastAsia="方正仿宋_GB2312" w:cs="Times New Roman"/>
          <w:color w:val="auto"/>
          <w:sz w:val="28"/>
          <w:szCs w:val="28"/>
        </w:rPr>
        <w:t>提供业绩合同</w:t>
      </w:r>
      <w:r>
        <w:rPr>
          <w:rFonts w:ascii="Times New Roman" w:hAnsi="Times New Roman" w:eastAsia="方正仿宋_GB2312" w:cs="Times New Roman"/>
          <w:color w:val="auto"/>
          <w:sz w:val="28"/>
          <w:szCs w:val="28"/>
          <w:lang w:val="zh-CN"/>
        </w:rPr>
        <w:t>）。</w:t>
      </w:r>
    </w:p>
    <w:p w14:paraId="5045C63D">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11.本项目不接受联合体投标，且不允许分包或转包。</w:t>
      </w:r>
    </w:p>
    <w:p w14:paraId="5BFD1D24">
      <w:pPr>
        <w:pStyle w:val="3"/>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12.中标人应在中标通知书发出之日起30日内，在重庆市大足区设立全资或控股项目公司。项目公司应承接中标人在本项目中的全部权利和义务（包括但不限于项目投资、建设、运维、电费结算）</w:t>
      </w:r>
      <w:r>
        <w:rPr>
          <w:rFonts w:hint="eastAsia" w:ascii="Times New Roman" w:hAnsi="Times New Roman" w:eastAsia="方正仿宋_GB2312" w:cs="Times New Roman"/>
          <w:color w:val="auto"/>
          <w:sz w:val="28"/>
          <w:szCs w:val="28"/>
        </w:rPr>
        <w:t>。</w:t>
      </w:r>
    </w:p>
    <w:p w14:paraId="1FD2E76F">
      <w:pPr>
        <w:pStyle w:val="3"/>
        <w:ind w:firstLine="560" w:firstLineChars="200"/>
        <w:rPr>
          <w:rFonts w:ascii="Times New Roman" w:hAnsi="Times New Roman" w:eastAsia="方正仿宋_GB2312" w:cs="Times New Roman"/>
          <w:color w:val="auto"/>
        </w:rPr>
      </w:pPr>
      <w:r>
        <w:rPr>
          <w:rFonts w:ascii="Times New Roman" w:hAnsi="Times New Roman" w:eastAsia="方正仿宋_GB2312" w:cs="Times New Roman"/>
          <w:color w:val="auto"/>
          <w:sz w:val="28"/>
          <w:szCs w:val="28"/>
        </w:rPr>
        <w:t>项目公司设立后，中标人应向招标人提交：（1）项目公司营业执照复印件（加盖公章）；（2）中标人持股证明（如公司章程、股权协议）；</w:t>
      </w:r>
    </w:p>
    <w:p w14:paraId="79054C8F">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13.参选保证金</w:t>
      </w:r>
    </w:p>
    <w:p w14:paraId="5B5715D7">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参选保证金金额：20000元</w:t>
      </w:r>
    </w:p>
    <w:p w14:paraId="36EDB7BE">
      <w:pPr>
        <w:widowControl/>
        <w:numPr>
          <w:ilvl w:val="255"/>
          <w:numId w:val="0"/>
        </w:num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方式：本项目保证金以银行或电子转账方式交纳。‌</w:t>
      </w:r>
    </w:p>
    <w:p w14:paraId="58AEB74F">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‌电子转账方式信息如下：‌</w:t>
      </w:r>
    </w:p>
    <w:p w14:paraId="41BB2FE2">
      <w:pPr>
        <w:pStyle w:val="3"/>
        <w:ind w:firstLine="560" w:firstLineChars="200"/>
        <w:rPr>
          <w:rFonts w:ascii="Times New Roman" w:hAnsi="Times New Roman" w:eastAsia="方正仿宋_GB2312" w:cs="Times New Roman"/>
          <w:color w:val="auto"/>
          <w:kern w:val="2"/>
          <w:sz w:val="28"/>
          <w:szCs w:val="28"/>
          <w:lang w:val="zh-CN"/>
        </w:rPr>
      </w:pPr>
      <w:r>
        <w:rPr>
          <w:rFonts w:ascii="Times New Roman" w:hAnsi="Times New Roman" w:eastAsia="方正仿宋_GB2312" w:cs="Times New Roman"/>
          <w:color w:val="auto"/>
          <w:kern w:val="2"/>
          <w:sz w:val="28"/>
          <w:szCs w:val="28"/>
          <w:lang w:val="zh-CN"/>
        </w:rPr>
        <w:t>名称：</w:t>
      </w:r>
    </w:p>
    <w:p w14:paraId="4528D74E">
      <w:pPr>
        <w:pStyle w:val="3"/>
        <w:ind w:firstLine="560" w:firstLineChars="200"/>
        <w:rPr>
          <w:rFonts w:ascii="Times New Roman" w:hAnsi="Times New Roman" w:eastAsia="方正仿宋_GB2312" w:cs="Times New Roman"/>
          <w:color w:val="auto"/>
          <w:kern w:val="2"/>
          <w:sz w:val="28"/>
          <w:szCs w:val="28"/>
          <w:lang w:val="zh-CN"/>
        </w:rPr>
      </w:pPr>
      <w:r>
        <w:rPr>
          <w:rFonts w:ascii="Times New Roman" w:hAnsi="Times New Roman" w:eastAsia="方正仿宋_GB2312" w:cs="Times New Roman"/>
          <w:color w:val="auto"/>
          <w:kern w:val="2"/>
          <w:sz w:val="28"/>
          <w:szCs w:val="28"/>
          <w:lang w:val="zh-CN"/>
        </w:rPr>
        <w:t>开户行：</w:t>
      </w:r>
    </w:p>
    <w:p w14:paraId="4AD89BE2">
      <w:pPr>
        <w:pStyle w:val="3"/>
        <w:ind w:firstLine="560" w:firstLineChars="200"/>
        <w:rPr>
          <w:rFonts w:ascii="Times New Roman" w:hAnsi="Times New Roman" w:eastAsia="方正仿宋_GB2312" w:cs="Times New Roman"/>
          <w:color w:val="auto"/>
          <w:kern w:val="2"/>
          <w:sz w:val="28"/>
          <w:szCs w:val="28"/>
          <w:lang w:val="zh-CN"/>
        </w:rPr>
      </w:pPr>
      <w:r>
        <w:rPr>
          <w:rFonts w:ascii="Times New Roman" w:hAnsi="Times New Roman" w:eastAsia="方正仿宋_GB2312" w:cs="Times New Roman"/>
          <w:color w:val="auto"/>
          <w:kern w:val="2"/>
          <w:sz w:val="28"/>
          <w:szCs w:val="28"/>
          <w:lang w:val="zh-CN"/>
        </w:rPr>
        <w:t>账号：</w:t>
      </w:r>
    </w:p>
    <w:p w14:paraId="72E1110E">
      <w:pPr>
        <w:pStyle w:val="3"/>
        <w:ind w:firstLine="560" w:firstLineChars="200"/>
        <w:rPr>
          <w:rFonts w:ascii="Times New Roman" w:hAnsi="Times New Roman" w:eastAsia="方正仿宋_GB2312" w:cs="Times New Roman"/>
          <w:color w:val="auto"/>
          <w:kern w:val="2"/>
          <w:sz w:val="28"/>
          <w:szCs w:val="28"/>
        </w:rPr>
      </w:pPr>
      <w:r>
        <w:rPr>
          <w:rFonts w:ascii="Times New Roman" w:hAnsi="Times New Roman" w:eastAsia="方正仿宋_GB2312" w:cs="Times New Roman"/>
          <w:color w:val="auto"/>
          <w:kern w:val="2"/>
          <w:sz w:val="28"/>
          <w:szCs w:val="28"/>
        </w:rPr>
        <w:t>转账信息须备注大足医院光伏发电及储能合作开发项目</w:t>
      </w:r>
      <w:r>
        <w:rPr>
          <w:rFonts w:hint="eastAsia" w:ascii="Times New Roman" w:hAnsi="Times New Roman" w:eastAsia="方正仿宋_GB2312" w:cs="Times New Roman"/>
          <w:color w:val="auto"/>
          <w:kern w:val="2"/>
          <w:sz w:val="28"/>
          <w:szCs w:val="28"/>
        </w:rPr>
        <w:t>参选</w:t>
      </w:r>
      <w:r>
        <w:rPr>
          <w:rFonts w:ascii="Times New Roman" w:hAnsi="Times New Roman" w:eastAsia="方正仿宋_GB2312" w:cs="Times New Roman"/>
          <w:color w:val="auto"/>
          <w:kern w:val="2"/>
          <w:sz w:val="28"/>
          <w:szCs w:val="28"/>
        </w:rPr>
        <w:t>保证金，潜在合作单位在参选时需提供交纳证明。</w:t>
      </w:r>
    </w:p>
    <w:p w14:paraId="3F582BC4">
      <w:pPr>
        <w:numPr>
          <w:ilvl w:val="0"/>
          <w:numId w:val="1"/>
        </w:numPr>
        <w:spacing w:line="360" w:lineRule="auto"/>
        <w:ind w:firstLine="562" w:firstLineChars="200"/>
        <w:rPr>
          <w:rFonts w:ascii="Times New Roman" w:hAnsi="Times New Roman" w:eastAsia="方正仿宋_GB2312" w:cs="Times New Roman"/>
          <w:b/>
          <w:bCs/>
          <w:color w:val="auto"/>
          <w:sz w:val="28"/>
          <w:szCs w:val="28"/>
        </w:rPr>
      </w:pPr>
      <w:r>
        <w:rPr>
          <w:rFonts w:ascii="Times New Roman" w:hAnsi="Times New Roman" w:eastAsia="方正仿宋_GB2312" w:cs="Times New Roman"/>
          <w:b/>
          <w:bCs/>
          <w:color w:val="auto"/>
          <w:sz w:val="28"/>
          <w:szCs w:val="28"/>
        </w:rPr>
        <w:t>技术服务要求</w:t>
      </w:r>
    </w:p>
    <w:p w14:paraId="3493C469">
      <w:pPr>
        <w:spacing w:line="360" w:lineRule="auto"/>
        <w:ind w:firstLine="560" w:firstLineChars="200"/>
        <w:rPr>
          <w:rFonts w:ascii="Times New Roman" w:hAnsi="Times New Roman" w:eastAsia="方正仿宋_GB2312" w:cs="Times New Roman"/>
          <w:color w:val="auto"/>
          <w:sz w:val="28"/>
          <w:szCs w:val="28"/>
          <w:lang w:val="zh-CN"/>
        </w:rPr>
      </w:pPr>
      <w:r>
        <w:rPr>
          <w:rFonts w:ascii="Times New Roman" w:hAnsi="Times New Roman" w:eastAsia="方正仿宋_GB2312" w:cs="Times New Roman"/>
          <w:color w:val="auto"/>
          <w:sz w:val="28"/>
          <w:szCs w:val="28"/>
        </w:rPr>
        <w:t>1.合作单位</w:t>
      </w:r>
      <w:r>
        <w:rPr>
          <w:rFonts w:ascii="Times New Roman" w:hAnsi="Times New Roman" w:eastAsia="方正仿宋_GB2312" w:cs="Times New Roman"/>
          <w:color w:val="auto"/>
          <w:sz w:val="28"/>
          <w:szCs w:val="28"/>
          <w:lang w:val="zh-CN"/>
        </w:rPr>
        <w:t>全额投资建设光伏电站</w:t>
      </w:r>
      <w:r>
        <w:rPr>
          <w:rFonts w:ascii="Times New Roman" w:hAnsi="Times New Roman" w:eastAsia="方正仿宋_GB2312" w:cs="Times New Roman"/>
          <w:color w:val="auto"/>
          <w:sz w:val="28"/>
          <w:szCs w:val="28"/>
        </w:rPr>
        <w:t>和电力储能设备</w:t>
      </w:r>
      <w:r>
        <w:rPr>
          <w:rFonts w:ascii="Times New Roman" w:hAnsi="Times New Roman" w:eastAsia="方正仿宋_GB2312" w:cs="Times New Roman"/>
          <w:color w:val="auto"/>
          <w:sz w:val="28"/>
          <w:szCs w:val="28"/>
          <w:lang w:val="zh-CN"/>
        </w:rPr>
        <w:t>，包括但不限于</w:t>
      </w:r>
      <w:r>
        <w:rPr>
          <w:rFonts w:ascii="Times New Roman" w:hAnsi="Times New Roman" w:eastAsia="方正仿宋_GB2312" w:cs="Times New Roman"/>
          <w:color w:val="auto"/>
          <w:sz w:val="28"/>
          <w:szCs w:val="28"/>
        </w:rPr>
        <w:t>建设</w:t>
      </w:r>
      <w:r>
        <w:rPr>
          <w:rFonts w:ascii="Times New Roman" w:hAnsi="Times New Roman" w:eastAsia="方正仿宋_GB2312" w:cs="Times New Roman"/>
          <w:color w:val="auto"/>
          <w:sz w:val="28"/>
          <w:szCs w:val="28"/>
          <w:lang w:val="zh-CN"/>
        </w:rPr>
        <w:t>所需土建及安装工程的规划、设计、安装、调试、验收、并网、运营维护等</w:t>
      </w:r>
      <w:r>
        <w:rPr>
          <w:rFonts w:ascii="Times New Roman" w:hAnsi="Times New Roman" w:eastAsia="方正仿宋_GB2312" w:cs="Times New Roman"/>
          <w:color w:val="auto"/>
          <w:sz w:val="28"/>
          <w:szCs w:val="28"/>
        </w:rPr>
        <w:t>内容</w:t>
      </w:r>
      <w:r>
        <w:rPr>
          <w:rFonts w:ascii="Times New Roman" w:hAnsi="Times New Roman" w:eastAsia="方正仿宋_GB2312" w:cs="Times New Roman"/>
          <w:color w:val="auto"/>
          <w:sz w:val="28"/>
          <w:szCs w:val="28"/>
          <w:lang w:val="zh-CN"/>
        </w:rPr>
        <w:t>，</w:t>
      </w:r>
      <w:r>
        <w:rPr>
          <w:rFonts w:ascii="Times New Roman" w:hAnsi="Times New Roman" w:eastAsia="方正仿宋_GB2312" w:cs="Times New Roman"/>
          <w:color w:val="auto"/>
          <w:sz w:val="28"/>
          <w:szCs w:val="28"/>
        </w:rPr>
        <w:t>以及与项目建设相关的</w:t>
      </w:r>
      <w:r>
        <w:rPr>
          <w:rFonts w:ascii="Times New Roman" w:hAnsi="Times New Roman" w:eastAsia="方正仿宋_GB2312" w:cs="Times New Roman"/>
          <w:color w:val="auto"/>
          <w:sz w:val="28"/>
          <w:szCs w:val="28"/>
          <w:lang w:val="zh-CN"/>
        </w:rPr>
        <w:t>配套工程等；</w:t>
      </w:r>
    </w:p>
    <w:p w14:paraId="23E2D18E">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2.光伏电站设计容量不低于1600KWp，储能系统设计容量不低于8MWh，需充分考虑离网保障时间。</w:t>
      </w:r>
    </w:p>
    <w:p w14:paraId="4F8DED28">
      <w:pPr>
        <w:pStyle w:val="3"/>
        <w:ind w:firstLine="560" w:firstLineChars="200"/>
        <w:rPr>
          <w:rFonts w:ascii="Times New Roman" w:hAnsi="Times New Roman" w:eastAsia="方正仿宋_GB2312" w:cs="Times New Roman"/>
          <w:color w:val="auto"/>
        </w:rPr>
      </w:pPr>
      <w:r>
        <w:rPr>
          <w:rFonts w:ascii="Times New Roman" w:hAnsi="Times New Roman" w:eastAsia="方正仿宋_GB2312" w:cs="Times New Roman"/>
          <w:color w:val="auto"/>
          <w:sz w:val="28"/>
          <w:szCs w:val="28"/>
        </w:rPr>
        <w:t>3.电力储能系统拟设置在医院院区合理位置，应满足现行相关规范，并考虑安全性和美观性。</w:t>
      </w:r>
    </w:p>
    <w:p w14:paraId="12CFF6B1">
      <w:pPr>
        <w:spacing w:line="360" w:lineRule="auto"/>
        <w:ind w:firstLine="560" w:firstLineChars="200"/>
        <w:rPr>
          <w:rFonts w:ascii="Times New Roman" w:hAnsi="Times New Roman" w:eastAsia="方正仿宋_GB2312" w:cs="Times New Roman"/>
          <w:color w:val="auto"/>
          <w:sz w:val="28"/>
          <w:szCs w:val="28"/>
          <w:lang w:val="zh-CN"/>
        </w:rPr>
      </w:pPr>
      <w:r>
        <w:rPr>
          <w:rFonts w:ascii="Times New Roman" w:hAnsi="Times New Roman" w:eastAsia="方正仿宋_GB2312" w:cs="Times New Roman"/>
          <w:color w:val="auto"/>
          <w:sz w:val="28"/>
          <w:szCs w:val="28"/>
        </w:rPr>
        <w:t>4.合作单位屋面施工时应做好防水防护，项目</w:t>
      </w:r>
      <w:r>
        <w:rPr>
          <w:rFonts w:ascii="Times New Roman" w:hAnsi="Times New Roman" w:eastAsia="方正仿宋_GB2312" w:cs="Times New Roman"/>
          <w:color w:val="auto"/>
          <w:sz w:val="28"/>
          <w:szCs w:val="28"/>
          <w:lang w:val="zh-CN"/>
        </w:rPr>
        <w:t>运营管理期间内，</w:t>
      </w:r>
      <w:r>
        <w:rPr>
          <w:rFonts w:ascii="Times New Roman" w:hAnsi="Times New Roman" w:eastAsia="方正仿宋_GB2312" w:cs="Times New Roman"/>
          <w:color w:val="auto"/>
          <w:sz w:val="28"/>
          <w:szCs w:val="28"/>
        </w:rPr>
        <w:t>光伏铺设区域的整个</w:t>
      </w:r>
      <w:r>
        <w:rPr>
          <w:rFonts w:ascii="Times New Roman" w:hAnsi="Times New Roman" w:eastAsia="方正仿宋_GB2312" w:cs="Times New Roman"/>
          <w:color w:val="auto"/>
          <w:sz w:val="28"/>
          <w:szCs w:val="28"/>
          <w:lang w:val="zh-CN"/>
        </w:rPr>
        <w:t>屋面防水、维护</w:t>
      </w:r>
      <w:r>
        <w:rPr>
          <w:rFonts w:ascii="Times New Roman" w:hAnsi="Times New Roman" w:eastAsia="方正仿宋_GB2312" w:cs="Times New Roman"/>
          <w:color w:val="auto"/>
          <w:sz w:val="28"/>
          <w:szCs w:val="28"/>
        </w:rPr>
        <w:t>由合作单位负责</w:t>
      </w:r>
      <w:r>
        <w:rPr>
          <w:rFonts w:ascii="Times New Roman" w:hAnsi="Times New Roman" w:eastAsia="方正仿宋_GB2312" w:cs="Times New Roman"/>
          <w:color w:val="auto"/>
          <w:sz w:val="28"/>
          <w:szCs w:val="28"/>
          <w:lang w:val="zh-CN"/>
        </w:rPr>
        <w:t>。</w:t>
      </w:r>
    </w:p>
    <w:p w14:paraId="4F37B200">
      <w:pPr>
        <w:spacing w:line="360" w:lineRule="auto"/>
        <w:ind w:firstLine="560" w:firstLineChars="200"/>
        <w:rPr>
          <w:rFonts w:ascii="Times New Roman" w:hAnsi="Times New Roman" w:eastAsia="方正仿宋_GB2312" w:cs="Times New Roman"/>
          <w:color w:val="auto"/>
          <w:sz w:val="28"/>
          <w:szCs w:val="28"/>
          <w:lang w:val="zh-CN"/>
        </w:rPr>
      </w:pPr>
      <w:r>
        <w:rPr>
          <w:rFonts w:ascii="Times New Roman" w:hAnsi="Times New Roman" w:eastAsia="方正仿宋_GB2312" w:cs="Times New Roman"/>
          <w:color w:val="auto"/>
          <w:sz w:val="28"/>
          <w:szCs w:val="28"/>
        </w:rPr>
        <w:t>5.</w:t>
      </w:r>
      <w:r>
        <w:rPr>
          <w:rFonts w:ascii="Times New Roman" w:hAnsi="Times New Roman" w:eastAsia="方正仿宋_GB2312" w:cs="Times New Roman"/>
          <w:color w:val="auto"/>
          <w:sz w:val="28"/>
          <w:szCs w:val="28"/>
          <w:lang w:val="zh-CN"/>
        </w:rPr>
        <w:t>项目实施要严格按照行业规范要求，</w:t>
      </w:r>
      <w:r>
        <w:rPr>
          <w:rFonts w:ascii="Times New Roman" w:hAnsi="Times New Roman" w:eastAsia="方正仿宋_GB2312" w:cs="Times New Roman"/>
          <w:color w:val="auto"/>
          <w:sz w:val="28"/>
          <w:szCs w:val="28"/>
        </w:rPr>
        <w:t>光伏</w:t>
      </w:r>
      <w:r>
        <w:rPr>
          <w:rFonts w:ascii="Times New Roman" w:hAnsi="Times New Roman" w:eastAsia="方正仿宋_GB2312" w:cs="Times New Roman"/>
          <w:color w:val="auto"/>
          <w:sz w:val="28"/>
          <w:szCs w:val="28"/>
          <w:lang w:val="zh-CN"/>
        </w:rPr>
        <w:t>组件寿命不低于</w:t>
      </w:r>
      <w:r>
        <w:rPr>
          <w:rFonts w:ascii="Times New Roman" w:hAnsi="Times New Roman" w:eastAsia="方正仿宋_GB2312" w:cs="Times New Roman"/>
          <w:color w:val="auto"/>
          <w:sz w:val="28"/>
          <w:szCs w:val="28"/>
        </w:rPr>
        <w:t>25</w:t>
      </w:r>
      <w:r>
        <w:rPr>
          <w:rFonts w:ascii="Times New Roman" w:hAnsi="Times New Roman" w:eastAsia="方正仿宋_GB2312" w:cs="Times New Roman"/>
          <w:color w:val="auto"/>
          <w:sz w:val="28"/>
          <w:szCs w:val="28"/>
          <w:lang w:val="zh-CN"/>
        </w:rPr>
        <w:t>年，自项目投产运行之日起，首年衰减率不高于</w:t>
      </w:r>
      <w:r>
        <w:rPr>
          <w:rFonts w:ascii="Times New Roman" w:hAnsi="Times New Roman" w:eastAsia="方正仿宋_GB2312" w:cs="Times New Roman"/>
          <w:color w:val="auto"/>
          <w:sz w:val="28"/>
          <w:szCs w:val="28"/>
        </w:rPr>
        <w:t>1</w:t>
      </w:r>
      <w:r>
        <w:rPr>
          <w:rFonts w:ascii="Times New Roman" w:hAnsi="Times New Roman" w:eastAsia="方正仿宋_GB2312" w:cs="Times New Roman"/>
          <w:color w:val="auto"/>
          <w:sz w:val="28"/>
          <w:szCs w:val="28"/>
          <w:lang w:val="zh-CN"/>
        </w:rPr>
        <w:t>%，之后每年衰减率不高于0.</w:t>
      </w:r>
      <w:r>
        <w:rPr>
          <w:rFonts w:ascii="Times New Roman" w:hAnsi="Times New Roman" w:eastAsia="方正仿宋_GB2312" w:cs="Times New Roman"/>
          <w:color w:val="auto"/>
          <w:sz w:val="28"/>
          <w:szCs w:val="28"/>
        </w:rPr>
        <w:t>4</w:t>
      </w:r>
      <w:r>
        <w:rPr>
          <w:rFonts w:ascii="Times New Roman" w:hAnsi="Times New Roman" w:eastAsia="方正仿宋_GB2312" w:cs="Times New Roman"/>
          <w:color w:val="auto"/>
          <w:sz w:val="28"/>
          <w:szCs w:val="28"/>
          <w:lang w:val="zh-CN"/>
        </w:rPr>
        <w:t>%，</w:t>
      </w:r>
      <w:r>
        <w:rPr>
          <w:rFonts w:ascii="Times New Roman" w:hAnsi="Times New Roman" w:eastAsia="方正仿宋_GB2312" w:cs="Times New Roman"/>
          <w:color w:val="auto"/>
          <w:sz w:val="28"/>
          <w:szCs w:val="28"/>
        </w:rPr>
        <w:t>单个光伏板的容量不小于590W</w:t>
      </w:r>
      <w:r>
        <w:rPr>
          <w:rFonts w:ascii="Times New Roman" w:hAnsi="Times New Roman" w:eastAsia="方正仿宋_GB2312" w:cs="Times New Roman"/>
          <w:color w:val="auto"/>
          <w:sz w:val="28"/>
          <w:szCs w:val="28"/>
          <w:lang w:val="zh-CN"/>
        </w:rPr>
        <w:t>。</w:t>
      </w:r>
      <w:r>
        <w:rPr>
          <w:rFonts w:ascii="Times New Roman" w:hAnsi="Times New Roman" w:eastAsia="方正仿宋_GB2312" w:cs="Times New Roman"/>
          <w:color w:val="auto"/>
          <w:sz w:val="28"/>
          <w:szCs w:val="28"/>
        </w:rPr>
        <w:t>运行期间光伏组件性能参数低于上述任何一条应对光伏组件进行维修或更换以满足要求。电力储能设备</w:t>
      </w:r>
      <w:r>
        <w:rPr>
          <w:rFonts w:ascii="Times New Roman" w:hAnsi="Times New Roman" w:eastAsia="方正仿宋_GB2312" w:cs="Times New Roman"/>
          <w:color w:val="auto"/>
          <w:sz w:val="28"/>
          <w:szCs w:val="28"/>
          <w:lang w:val="zh-CN"/>
        </w:rPr>
        <w:t>储备率低于</w:t>
      </w:r>
      <w:r>
        <w:rPr>
          <w:rFonts w:ascii="Times New Roman" w:hAnsi="Times New Roman" w:eastAsia="方正仿宋_GB2312" w:cs="Times New Roman"/>
          <w:color w:val="auto"/>
          <w:sz w:val="28"/>
          <w:szCs w:val="28"/>
        </w:rPr>
        <w:t>7</w:t>
      </w:r>
      <w:r>
        <w:rPr>
          <w:rFonts w:ascii="Times New Roman" w:hAnsi="Times New Roman" w:eastAsia="方正仿宋_GB2312" w:cs="Times New Roman"/>
          <w:color w:val="auto"/>
          <w:sz w:val="28"/>
          <w:szCs w:val="28"/>
          <w:lang w:val="zh-CN"/>
        </w:rPr>
        <w:t>0%时</w:t>
      </w:r>
      <w:r>
        <w:rPr>
          <w:rFonts w:ascii="Times New Roman" w:hAnsi="Times New Roman" w:eastAsia="方正仿宋_GB2312" w:cs="Times New Roman"/>
          <w:color w:val="auto"/>
          <w:sz w:val="28"/>
          <w:szCs w:val="28"/>
        </w:rPr>
        <w:t>须进行</w:t>
      </w:r>
      <w:r>
        <w:rPr>
          <w:rFonts w:ascii="Times New Roman" w:hAnsi="Times New Roman" w:eastAsia="方正仿宋_GB2312" w:cs="Times New Roman"/>
          <w:color w:val="auto"/>
          <w:sz w:val="28"/>
          <w:szCs w:val="28"/>
          <w:lang w:val="zh-CN"/>
        </w:rPr>
        <w:t>更换‌。</w:t>
      </w:r>
    </w:p>
    <w:p w14:paraId="26B491B4">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6.</w:t>
      </w:r>
      <w:r>
        <w:rPr>
          <w:rFonts w:ascii="Times New Roman" w:hAnsi="Times New Roman" w:eastAsia="方正仿宋_GB2312" w:cs="Times New Roman"/>
          <w:color w:val="auto"/>
          <w:sz w:val="28"/>
          <w:szCs w:val="28"/>
          <w:lang w:val="zh-CN"/>
        </w:rPr>
        <w:t>项目实施内容必须包含后台监控</w:t>
      </w:r>
      <w:r>
        <w:rPr>
          <w:rFonts w:ascii="Times New Roman" w:hAnsi="Times New Roman" w:eastAsia="方正仿宋_GB2312" w:cs="Times New Roman"/>
          <w:color w:val="auto"/>
          <w:sz w:val="28"/>
          <w:szCs w:val="28"/>
        </w:rPr>
        <w:t>，</w:t>
      </w:r>
      <w:r>
        <w:rPr>
          <w:rFonts w:ascii="Times New Roman" w:hAnsi="Times New Roman" w:eastAsia="方正仿宋_GB2312" w:cs="Times New Roman"/>
          <w:color w:val="auto"/>
          <w:sz w:val="28"/>
          <w:szCs w:val="28"/>
          <w:lang w:val="zh-CN"/>
        </w:rPr>
        <w:t>监控系统可采集直流侧电压、电流、电网各相电压、电流、光伏系统的每日发电量、总发电量</w:t>
      </w:r>
      <w:r>
        <w:rPr>
          <w:rFonts w:ascii="Times New Roman" w:hAnsi="Times New Roman" w:eastAsia="方正仿宋_GB2312" w:cs="Times New Roman"/>
          <w:color w:val="auto"/>
          <w:sz w:val="28"/>
          <w:szCs w:val="28"/>
        </w:rPr>
        <w:t>以及储能系统每日充放电量</w:t>
      </w:r>
      <w:r>
        <w:rPr>
          <w:rFonts w:ascii="Times New Roman" w:hAnsi="Times New Roman" w:eastAsia="方正仿宋_GB2312" w:cs="Times New Roman"/>
          <w:color w:val="auto"/>
          <w:sz w:val="28"/>
          <w:szCs w:val="28"/>
          <w:lang w:val="zh-CN"/>
        </w:rPr>
        <w:t>。要求至少有手机（或电子显示设备）实施监控功能，</w:t>
      </w:r>
      <w:r>
        <w:rPr>
          <w:rFonts w:ascii="Times New Roman" w:hAnsi="Times New Roman" w:eastAsia="方正仿宋_GB2312" w:cs="Times New Roman"/>
          <w:color w:val="auto"/>
          <w:sz w:val="28"/>
          <w:szCs w:val="28"/>
        </w:rPr>
        <w:t>并对医院全面放开</w:t>
      </w:r>
      <w:r>
        <w:rPr>
          <w:rFonts w:ascii="Times New Roman" w:hAnsi="Times New Roman" w:eastAsia="方正仿宋_GB2312" w:cs="Times New Roman"/>
          <w:color w:val="auto"/>
          <w:sz w:val="28"/>
          <w:szCs w:val="28"/>
          <w:lang w:val="zh-CN"/>
        </w:rPr>
        <w:t>。</w:t>
      </w:r>
    </w:p>
    <w:p w14:paraId="784668D9">
      <w:pPr>
        <w:spacing w:line="360" w:lineRule="auto"/>
        <w:ind w:firstLine="560" w:firstLineChars="200"/>
        <w:rPr>
          <w:rFonts w:ascii="Times New Roman" w:hAnsi="Times New Roman" w:eastAsia="方正仿宋_GB2312" w:cs="Times New Roman"/>
          <w:color w:val="auto"/>
          <w:sz w:val="28"/>
          <w:szCs w:val="28"/>
          <w:lang w:val="zh-CN"/>
        </w:rPr>
      </w:pPr>
      <w:r>
        <w:rPr>
          <w:rFonts w:ascii="Times New Roman" w:hAnsi="Times New Roman" w:eastAsia="方正仿宋_GB2312" w:cs="Times New Roman"/>
          <w:color w:val="auto"/>
          <w:sz w:val="28"/>
          <w:szCs w:val="28"/>
        </w:rPr>
        <w:t>7.</w:t>
      </w:r>
      <w:r>
        <w:rPr>
          <w:rFonts w:ascii="Times New Roman" w:hAnsi="Times New Roman" w:eastAsia="方正仿宋_GB2312" w:cs="Times New Roman"/>
          <w:color w:val="auto"/>
          <w:sz w:val="28"/>
          <w:szCs w:val="28"/>
          <w:lang w:val="zh-CN"/>
        </w:rPr>
        <w:t>合作单位负责整体光伏电站</w:t>
      </w:r>
      <w:r>
        <w:rPr>
          <w:rFonts w:ascii="Times New Roman" w:hAnsi="Times New Roman" w:eastAsia="方正仿宋_GB2312" w:cs="Times New Roman"/>
          <w:color w:val="auto"/>
          <w:sz w:val="28"/>
          <w:szCs w:val="28"/>
        </w:rPr>
        <w:t>和储能系统</w:t>
      </w:r>
      <w:r>
        <w:rPr>
          <w:rFonts w:ascii="Times New Roman" w:hAnsi="Times New Roman" w:eastAsia="方正仿宋_GB2312" w:cs="Times New Roman"/>
          <w:color w:val="auto"/>
          <w:sz w:val="28"/>
          <w:szCs w:val="28"/>
          <w:lang w:val="zh-CN"/>
        </w:rPr>
        <w:t>建设运营，必须以确保设备安装质量、安全运行要求为原则，若在安装调试、运行中发现缺项等问题，由合作单位负责处理并承担相关责任。</w:t>
      </w:r>
    </w:p>
    <w:p w14:paraId="40315175">
      <w:pPr>
        <w:spacing w:line="360" w:lineRule="auto"/>
        <w:ind w:firstLine="560" w:firstLineChars="200"/>
        <w:rPr>
          <w:rFonts w:ascii="Times New Roman" w:hAnsi="Times New Roman" w:eastAsia="方正仿宋_GB2312" w:cs="Times New Roman"/>
          <w:color w:val="auto"/>
          <w:sz w:val="28"/>
          <w:szCs w:val="28"/>
          <w:lang w:val="zh-CN"/>
        </w:rPr>
      </w:pPr>
      <w:r>
        <w:rPr>
          <w:rFonts w:ascii="Times New Roman" w:hAnsi="Times New Roman" w:eastAsia="方正仿宋_GB2312" w:cs="Times New Roman"/>
          <w:color w:val="auto"/>
          <w:sz w:val="28"/>
          <w:szCs w:val="28"/>
        </w:rPr>
        <w:t>8.</w:t>
      </w:r>
      <w:r>
        <w:rPr>
          <w:rFonts w:ascii="Times New Roman" w:hAnsi="Times New Roman" w:eastAsia="方正仿宋_GB2312" w:cs="Times New Roman"/>
          <w:color w:val="auto"/>
          <w:sz w:val="28"/>
          <w:szCs w:val="28"/>
          <w:lang w:val="zh-CN"/>
        </w:rPr>
        <w:t>合作单位必须确保供电电压稳定</w:t>
      </w:r>
      <w:r>
        <w:rPr>
          <w:rFonts w:ascii="Times New Roman" w:hAnsi="Times New Roman" w:eastAsia="方正仿宋_GB2312" w:cs="Times New Roman"/>
          <w:color w:val="auto"/>
          <w:sz w:val="28"/>
          <w:szCs w:val="28"/>
        </w:rPr>
        <w:t>及用电安全</w:t>
      </w:r>
      <w:r>
        <w:rPr>
          <w:rFonts w:ascii="Times New Roman" w:hAnsi="Times New Roman" w:eastAsia="方正仿宋_GB2312" w:cs="Times New Roman"/>
          <w:color w:val="auto"/>
          <w:sz w:val="28"/>
          <w:szCs w:val="28"/>
          <w:lang w:val="zh-CN"/>
        </w:rPr>
        <w:t>，确保</w:t>
      </w:r>
      <w:r>
        <w:rPr>
          <w:rFonts w:ascii="Times New Roman" w:hAnsi="Times New Roman" w:eastAsia="方正仿宋_GB2312" w:cs="Times New Roman"/>
          <w:color w:val="auto"/>
          <w:sz w:val="28"/>
          <w:szCs w:val="28"/>
        </w:rPr>
        <w:t>光伏及储能供电</w:t>
      </w:r>
      <w:r>
        <w:rPr>
          <w:rFonts w:ascii="Times New Roman" w:hAnsi="Times New Roman" w:eastAsia="方正仿宋_GB2312" w:cs="Times New Roman"/>
          <w:color w:val="auto"/>
          <w:sz w:val="28"/>
          <w:szCs w:val="28"/>
          <w:lang w:val="zh-CN"/>
        </w:rPr>
        <w:t>和市政供电平稳切换。由于使用合作单位电力原因造成的</w:t>
      </w:r>
      <w:r>
        <w:rPr>
          <w:rFonts w:ascii="Times New Roman" w:hAnsi="Times New Roman" w:eastAsia="方正仿宋_GB2312" w:cs="Times New Roman"/>
          <w:color w:val="auto"/>
          <w:sz w:val="28"/>
          <w:szCs w:val="28"/>
        </w:rPr>
        <w:t>院方任何</w:t>
      </w:r>
      <w:r>
        <w:rPr>
          <w:rFonts w:ascii="Times New Roman" w:hAnsi="Times New Roman" w:eastAsia="方正仿宋_GB2312" w:cs="Times New Roman"/>
          <w:color w:val="auto"/>
          <w:sz w:val="28"/>
          <w:szCs w:val="28"/>
          <w:lang w:val="zh-CN"/>
        </w:rPr>
        <w:t>设施设备损坏，造成的损失和法律后果</w:t>
      </w:r>
      <w:r>
        <w:rPr>
          <w:rFonts w:ascii="Times New Roman" w:hAnsi="Times New Roman" w:eastAsia="方正仿宋_GB2312" w:cs="Times New Roman"/>
          <w:color w:val="auto"/>
          <w:sz w:val="28"/>
          <w:szCs w:val="28"/>
        </w:rPr>
        <w:t>均</w:t>
      </w:r>
      <w:r>
        <w:rPr>
          <w:rFonts w:ascii="Times New Roman" w:hAnsi="Times New Roman" w:eastAsia="方正仿宋_GB2312" w:cs="Times New Roman"/>
          <w:color w:val="auto"/>
          <w:sz w:val="28"/>
          <w:szCs w:val="28"/>
          <w:lang w:val="zh-CN"/>
        </w:rPr>
        <w:t>由合作单位</w:t>
      </w:r>
      <w:r>
        <w:rPr>
          <w:rFonts w:ascii="Times New Roman" w:hAnsi="Times New Roman" w:eastAsia="方正仿宋_GB2312" w:cs="Times New Roman"/>
          <w:color w:val="auto"/>
          <w:sz w:val="28"/>
          <w:szCs w:val="28"/>
        </w:rPr>
        <w:t>全额</w:t>
      </w:r>
      <w:r>
        <w:rPr>
          <w:rFonts w:ascii="Times New Roman" w:hAnsi="Times New Roman" w:eastAsia="方正仿宋_GB2312" w:cs="Times New Roman"/>
          <w:color w:val="auto"/>
          <w:sz w:val="28"/>
          <w:szCs w:val="28"/>
          <w:lang w:val="zh-CN"/>
        </w:rPr>
        <w:t>承担。</w:t>
      </w:r>
    </w:p>
    <w:p w14:paraId="3F0EBC76">
      <w:pPr>
        <w:pStyle w:val="3"/>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9.储能系统投入使用后，需具备为重庆市大足区人民医院大型医疗设备及机房等设施设备的应急电源使用功能</w:t>
      </w:r>
      <w:r>
        <w:rPr>
          <w:rFonts w:hint="eastAsia" w:ascii="Times New Roman" w:hAnsi="Times New Roman" w:eastAsia="方正仿宋_GB2312" w:cs="Times New Roman"/>
          <w:color w:val="auto"/>
          <w:sz w:val="28"/>
          <w:szCs w:val="28"/>
        </w:rPr>
        <w:t>。</w:t>
      </w:r>
    </w:p>
    <w:p w14:paraId="3360D53B">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10.项目实施</w:t>
      </w:r>
      <w:r>
        <w:rPr>
          <w:rFonts w:ascii="Times New Roman" w:hAnsi="Times New Roman" w:eastAsia="方正仿宋_GB2312" w:cs="Times New Roman"/>
          <w:color w:val="auto"/>
          <w:sz w:val="28"/>
          <w:szCs w:val="28"/>
          <w:lang w:val="zh-CN"/>
        </w:rPr>
        <w:t>过程中</w:t>
      </w:r>
      <w:r>
        <w:rPr>
          <w:rFonts w:ascii="Times New Roman" w:hAnsi="Times New Roman" w:eastAsia="方正仿宋_GB2312" w:cs="Times New Roman"/>
          <w:color w:val="auto"/>
          <w:sz w:val="28"/>
          <w:szCs w:val="28"/>
        </w:rPr>
        <w:t>若</w:t>
      </w:r>
      <w:r>
        <w:rPr>
          <w:rFonts w:ascii="Times New Roman" w:hAnsi="Times New Roman" w:eastAsia="方正仿宋_GB2312" w:cs="Times New Roman"/>
          <w:color w:val="auto"/>
          <w:sz w:val="28"/>
          <w:szCs w:val="28"/>
          <w:lang w:val="zh-CN"/>
        </w:rPr>
        <w:t>因电力接入、调试等原因</w:t>
      </w:r>
      <w:r>
        <w:rPr>
          <w:rFonts w:ascii="Times New Roman" w:hAnsi="Times New Roman" w:eastAsia="方正仿宋_GB2312" w:cs="Times New Roman"/>
          <w:color w:val="auto"/>
          <w:sz w:val="28"/>
          <w:szCs w:val="28"/>
        </w:rPr>
        <w:t>确需临时</w:t>
      </w:r>
      <w:r>
        <w:rPr>
          <w:rFonts w:ascii="Times New Roman" w:hAnsi="Times New Roman" w:eastAsia="方正仿宋_GB2312" w:cs="Times New Roman"/>
          <w:color w:val="auto"/>
          <w:sz w:val="28"/>
          <w:szCs w:val="28"/>
          <w:lang w:val="zh-CN"/>
        </w:rPr>
        <w:t>停电，合作单位必须提前做好相应的预案</w:t>
      </w:r>
      <w:r>
        <w:rPr>
          <w:rFonts w:ascii="Times New Roman" w:hAnsi="Times New Roman" w:eastAsia="方正仿宋_GB2312" w:cs="Times New Roman"/>
          <w:color w:val="auto"/>
          <w:sz w:val="28"/>
          <w:szCs w:val="28"/>
        </w:rPr>
        <w:t>报院方审核后方可实施</w:t>
      </w:r>
      <w:r>
        <w:rPr>
          <w:rFonts w:ascii="Times New Roman" w:hAnsi="Times New Roman" w:eastAsia="方正仿宋_GB2312" w:cs="Times New Roman"/>
          <w:color w:val="auto"/>
          <w:sz w:val="28"/>
          <w:szCs w:val="28"/>
          <w:lang w:val="zh-CN"/>
        </w:rPr>
        <w:t>，</w:t>
      </w:r>
      <w:r>
        <w:rPr>
          <w:rFonts w:ascii="Times New Roman" w:hAnsi="Times New Roman" w:eastAsia="方正仿宋_GB2312" w:cs="Times New Roman"/>
          <w:color w:val="auto"/>
          <w:sz w:val="28"/>
          <w:szCs w:val="28"/>
        </w:rPr>
        <w:t>不得</w:t>
      </w:r>
      <w:r>
        <w:rPr>
          <w:rFonts w:ascii="Times New Roman" w:hAnsi="Times New Roman" w:eastAsia="方正仿宋_GB2312" w:cs="Times New Roman"/>
          <w:color w:val="auto"/>
          <w:sz w:val="28"/>
          <w:szCs w:val="28"/>
          <w:lang w:val="zh-CN"/>
        </w:rPr>
        <w:t>影响</w:t>
      </w:r>
      <w:r>
        <w:rPr>
          <w:rFonts w:ascii="Times New Roman" w:hAnsi="Times New Roman" w:eastAsia="方正仿宋_GB2312" w:cs="Times New Roman"/>
          <w:color w:val="auto"/>
          <w:sz w:val="28"/>
          <w:szCs w:val="28"/>
        </w:rPr>
        <w:t>院方</w:t>
      </w:r>
      <w:r>
        <w:rPr>
          <w:rFonts w:ascii="Times New Roman" w:hAnsi="Times New Roman" w:eastAsia="方正仿宋_GB2312" w:cs="Times New Roman"/>
          <w:color w:val="auto"/>
          <w:sz w:val="28"/>
          <w:szCs w:val="28"/>
          <w:lang w:val="zh-CN"/>
        </w:rPr>
        <w:t>正常诊疗秩序。</w:t>
      </w:r>
      <w:r>
        <w:rPr>
          <w:rFonts w:hint="eastAsia" w:ascii="Times New Roman" w:hAnsi="Times New Roman" w:eastAsia="方正仿宋_GB2312" w:cs="Times New Roman"/>
          <w:color w:val="auto"/>
          <w:sz w:val="28"/>
          <w:szCs w:val="28"/>
        </w:rPr>
        <w:t>若因上述原因临时发电产生的费用由合作商承担费用。</w:t>
      </w:r>
    </w:p>
    <w:p w14:paraId="24E11486">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11.</w:t>
      </w:r>
      <w:r>
        <w:rPr>
          <w:rFonts w:ascii="Times New Roman" w:hAnsi="Times New Roman" w:eastAsia="方正仿宋_GB2312" w:cs="Times New Roman"/>
          <w:color w:val="auto"/>
          <w:sz w:val="28"/>
          <w:szCs w:val="28"/>
          <w:lang w:val="zh-CN"/>
        </w:rPr>
        <w:t>项目运营期间，</w:t>
      </w:r>
      <w:r>
        <w:rPr>
          <w:rFonts w:ascii="Times New Roman" w:hAnsi="Times New Roman" w:eastAsia="方正仿宋_GB2312" w:cs="Times New Roman"/>
          <w:color w:val="auto"/>
          <w:sz w:val="28"/>
          <w:szCs w:val="28"/>
        </w:rPr>
        <w:t>合作单位</w:t>
      </w:r>
      <w:r>
        <w:rPr>
          <w:rFonts w:ascii="Times New Roman" w:hAnsi="Times New Roman" w:eastAsia="方正仿宋_GB2312" w:cs="Times New Roman"/>
          <w:color w:val="auto"/>
          <w:sz w:val="28"/>
          <w:szCs w:val="28"/>
          <w:lang w:val="zh-CN"/>
        </w:rPr>
        <w:t>应考虑周边环境引起的粉尘、灰尘清扫等问题，做好日常</w:t>
      </w:r>
      <w:r>
        <w:rPr>
          <w:rFonts w:ascii="Times New Roman" w:hAnsi="Times New Roman" w:eastAsia="方正仿宋_GB2312" w:cs="Times New Roman"/>
          <w:color w:val="auto"/>
          <w:sz w:val="28"/>
          <w:szCs w:val="28"/>
        </w:rPr>
        <w:t>清洁</w:t>
      </w:r>
      <w:r>
        <w:rPr>
          <w:rFonts w:ascii="Times New Roman" w:hAnsi="Times New Roman" w:eastAsia="方正仿宋_GB2312" w:cs="Times New Roman"/>
          <w:color w:val="auto"/>
          <w:sz w:val="28"/>
          <w:szCs w:val="28"/>
          <w:lang w:val="zh-CN"/>
        </w:rPr>
        <w:t>维护。</w:t>
      </w:r>
      <w:r>
        <w:rPr>
          <w:rFonts w:ascii="Times New Roman" w:hAnsi="Times New Roman" w:eastAsia="方正仿宋_GB2312" w:cs="Times New Roman"/>
          <w:color w:val="auto"/>
          <w:sz w:val="28"/>
          <w:szCs w:val="28"/>
        </w:rPr>
        <w:t>同时，须保证项目中各类计量仪器的准确性，并按照国家相关规范要求，定期进行检测及校准。</w:t>
      </w:r>
    </w:p>
    <w:p w14:paraId="69DD1538">
      <w:pPr>
        <w:spacing w:line="360" w:lineRule="auto"/>
        <w:ind w:firstLine="560" w:firstLineChars="200"/>
        <w:rPr>
          <w:rFonts w:ascii="Times New Roman" w:hAnsi="Times New Roman" w:eastAsia="方正仿宋_GB2312" w:cs="Times New Roman"/>
          <w:color w:val="auto"/>
          <w:sz w:val="28"/>
          <w:szCs w:val="28"/>
          <w:lang w:val="zh-CN"/>
        </w:rPr>
      </w:pPr>
      <w:r>
        <w:rPr>
          <w:rFonts w:ascii="Times New Roman" w:hAnsi="Times New Roman" w:eastAsia="方正仿宋_GB2312" w:cs="Times New Roman"/>
          <w:color w:val="auto"/>
          <w:sz w:val="28"/>
          <w:szCs w:val="28"/>
        </w:rPr>
        <w:t>12.</w:t>
      </w:r>
      <w:r>
        <w:rPr>
          <w:rFonts w:ascii="Times New Roman" w:hAnsi="Times New Roman" w:eastAsia="方正仿宋_GB2312" w:cs="Times New Roman"/>
          <w:color w:val="auto"/>
          <w:sz w:val="28"/>
          <w:szCs w:val="28"/>
          <w:lang w:val="zh-CN"/>
        </w:rPr>
        <w:t>项目在实施期间（含投产使用后运营期间）不能对招标人</w:t>
      </w:r>
      <w:r>
        <w:rPr>
          <w:rFonts w:ascii="Times New Roman" w:hAnsi="Times New Roman" w:eastAsia="方正仿宋_GB2312" w:cs="Times New Roman"/>
          <w:color w:val="auto"/>
          <w:sz w:val="28"/>
          <w:szCs w:val="28"/>
        </w:rPr>
        <w:t>院方</w:t>
      </w:r>
      <w:r>
        <w:rPr>
          <w:rFonts w:ascii="Times New Roman" w:hAnsi="Times New Roman" w:eastAsia="方正仿宋_GB2312" w:cs="Times New Roman"/>
          <w:color w:val="auto"/>
          <w:sz w:val="28"/>
          <w:szCs w:val="28"/>
          <w:lang w:val="zh-CN"/>
        </w:rPr>
        <w:t>产生负面影响，由此出现的负面影响合作单位必须在3个工作日内消除。</w:t>
      </w:r>
    </w:p>
    <w:p w14:paraId="6183FC8E">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lang w:val="zh-CN"/>
        </w:rPr>
        <w:t>1</w:t>
      </w:r>
      <w:r>
        <w:rPr>
          <w:rFonts w:ascii="Times New Roman" w:hAnsi="Times New Roman" w:eastAsia="方正仿宋_GB2312" w:cs="Times New Roman"/>
          <w:color w:val="auto"/>
          <w:sz w:val="28"/>
          <w:szCs w:val="28"/>
        </w:rPr>
        <w:t>3.</w:t>
      </w:r>
      <w:r>
        <w:rPr>
          <w:rFonts w:ascii="Times New Roman" w:hAnsi="Times New Roman" w:eastAsia="方正仿宋_GB2312" w:cs="Times New Roman"/>
          <w:color w:val="auto"/>
          <w:sz w:val="28"/>
          <w:szCs w:val="28"/>
          <w:lang w:val="zh-CN"/>
        </w:rPr>
        <w:t>运营期满后合作单位投资建设的本项目的光伏</w:t>
      </w:r>
      <w:r>
        <w:rPr>
          <w:rFonts w:ascii="Times New Roman" w:hAnsi="Times New Roman" w:eastAsia="方正仿宋_GB2312" w:cs="Times New Roman"/>
          <w:color w:val="auto"/>
          <w:sz w:val="28"/>
          <w:szCs w:val="28"/>
        </w:rPr>
        <w:t>电站及储能系统</w:t>
      </w:r>
      <w:r>
        <w:rPr>
          <w:rFonts w:ascii="Times New Roman" w:hAnsi="Times New Roman" w:eastAsia="方正仿宋_GB2312" w:cs="Times New Roman"/>
          <w:color w:val="auto"/>
          <w:sz w:val="28"/>
          <w:szCs w:val="28"/>
          <w:lang w:val="zh-CN"/>
        </w:rPr>
        <w:t>固定资产归</w:t>
      </w:r>
      <w:r>
        <w:rPr>
          <w:rFonts w:ascii="Times New Roman" w:hAnsi="Times New Roman" w:eastAsia="方正仿宋_GB2312" w:cs="Times New Roman"/>
          <w:color w:val="auto"/>
          <w:sz w:val="28"/>
          <w:szCs w:val="28"/>
        </w:rPr>
        <w:t>院方</w:t>
      </w:r>
      <w:r>
        <w:rPr>
          <w:rFonts w:ascii="Times New Roman" w:hAnsi="Times New Roman" w:eastAsia="方正仿宋_GB2312" w:cs="Times New Roman"/>
          <w:color w:val="auto"/>
          <w:sz w:val="28"/>
          <w:szCs w:val="28"/>
          <w:lang w:val="zh-CN"/>
        </w:rPr>
        <w:t>所有。</w:t>
      </w:r>
      <w:r>
        <w:rPr>
          <w:rFonts w:ascii="Times New Roman" w:hAnsi="Times New Roman" w:eastAsia="方正仿宋_GB2312" w:cs="Times New Roman"/>
          <w:color w:val="auto"/>
          <w:sz w:val="28"/>
          <w:szCs w:val="28"/>
        </w:rPr>
        <w:t>若经院方评估后不具有实际价值的，由合作单位负责拆除和处置。</w:t>
      </w:r>
    </w:p>
    <w:p w14:paraId="1F7CAD0D">
      <w:pPr>
        <w:spacing w:line="360" w:lineRule="auto"/>
        <w:ind w:firstLine="560" w:firstLineChars="200"/>
        <w:rPr>
          <w:rFonts w:ascii="Times New Roman" w:hAnsi="Times New Roman" w:eastAsia="方正仿宋_GB2312" w:cs="Times New Roman"/>
          <w:color w:val="auto"/>
          <w:sz w:val="28"/>
          <w:szCs w:val="28"/>
          <w:lang w:val="zh-CN"/>
        </w:rPr>
      </w:pPr>
      <w:r>
        <w:rPr>
          <w:rFonts w:ascii="Times New Roman" w:hAnsi="Times New Roman" w:eastAsia="方正仿宋_GB2312" w:cs="Times New Roman"/>
          <w:color w:val="auto"/>
          <w:sz w:val="28"/>
          <w:szCs w:val="28"/>
          <w:lang w:val="zh-CN"/>
        </w:rPr>
        <w:t>1</w:t>
      </w:r>
      <w:r>
        <w:rPr>
          <w:rFonts w:ascii="Times New Roman" w:hAnsi="Times New Roman" w:eastAsia="方正仿宋_GB2312" w:cs="Times New Roman"/>
          <w:color w:val="auto"/>
          <w:sz w:val="28"/>
          <w:szCs w:val="28"/>
        </w:rPr>
        <w:t>4.</w:t>
      </w:r>
      <w:r>
        <w:rPr>
          <w:rFonts w:ascii="Times New Roman" w:hAnsi="Times New Roman" w:eastAsia="方正仿宋_GB2312" w:cs="Times New Roman"/>
          <w:color w:val="auto"/>
          <w:sz w:val="28"/>
          <w:szCs w:val="28"/>
          <w:lang w:val="zh-CN"/>
        </w:rPr>
        <w:t>本项目为交钥匙项目，合作单位应选择</w:t>
      </w:r>
      <w:r>
        <w:rPr>
          <w:rFonts w:ascii="Times New Roman" w:hAnsi="Times New Roman" w:eastAsia="方正仿宋_GB2312" w:cs="Times New Roman"/>
          <w:color w:val="auto"/>
          <w:sz w:val="28"/>
          <w:szCs w:val="28"/>
        </w:rPr>
        <w:t>符合行业规范</w:t>
      </w:r>
      <w:r>
        <w:rPr>
          <w:rFonts w:ascii="Times New Roman" w:hAnsi="Times New Roman" w:eastAsia="方正仿宋_GB2312" w:cs="Times New Roman"/>
          <w:color w:val="auto"/>
          <w:sz w:val="28"/>
          <w:szCs w:val="28"/>
          <w:lang w:val="zh-CN"/>
        </w:rPr>
        <w:t>资质的单位进行设计、施工，合作单位必须保证光伏电站</w:t>
      </w:r>
      <w:r>
        <w:rPr>
          <w:rFonts w:ascii="Times New Roman" w:hAnsi="Times New Roman" w:eastAsia="方正仿宋_GB2312" w:cs="Times New Roman"/>
          <w:color w:val="auto"/>
          <w:sz w:val="28"/>
          <w:szCs w:val="28"/>
        </w:rPr>
        <w:t>及储能系统</w:t>
      </w:r>
      <w:r>
        <w:rPr>
          <w:rFonts w:ascii="Times New Roman" w:hAnsi="Times New Roman" w:eastAsia="方正仿宋_GB2312" w:cs="Times New Roman"/>
          <w:color w:val="auto"/>
          <w:sz w:val="28"/>
          <w:szCs w:val="28"/>
          <w:lang w:val="zh-CN"/>
        </w:rPr>
        <w:t>建设及运营期间的人员安全，由此产生的安全事故责任均由合作单位承担，由此造成的一切损失均由合作单位承担。</w:t>
      </w:r>
    </w:p>
    <w:p w14:paraId="0D07A0EB">
      <w:pPr>
        <w:spacing w:line="360" w:lineRule="auto"/>
        <w:ind w:firstLine="560" w:firstLineChars="200"/>
        <w:rPr>
          <w:rFonts w:ascii="Times New Roman" w:hAnsi="Times New Roman" w:eastAsia="方正仿宋_GB2312" w:cs="Times New Roman"/>
          <w:color w:val="auto"/>
          <w:sz w:val="28"/>
          <w:szCs w:val="28"/>
          <w:lang w:val="zh-CN"/>
        </w:rPr>
      </w:pPr>
      <w:r>
        <w:rPr>
          <w:rFonts w:ascii="Times New Roman" w:hAnsi="Times New Roman" w:eastAsia="方正仿宋_GB2312" w:cs="Times New Roman"/>
          <w:color w:val="auto"/>
          <w:sz w:val="28"/>
          <w:szCs w:val="28"/>
          <w:lang w:val="zh-CN"/>
        </w:rPr>
        <w:t>1</w:t>
      </w:r>
      <w:r>
        <w:rPr>
          <w:rFonts w:ascii="Times New Roman" w:hAnsi="Times New Roman" w:eastAsia="方正仿宋_GB2312" w:cs="Times New Roman"/>
          <w:color w:val="auto"/>
          <w:sz w:val="28"/>
          <w:szCs w:val="28"/>
        </w:rPr>
        <w:t>5.</w:t>
      </w:r>
      <w:r>
        <w:rPr>
          <w:rFonts w:ascii="Times New Roman" w:hAnsi="Times New Roman" w:eastAsia="方正仿宋_GB2312" w:cs="Times New Roman"/>
          <w:color w:val="auto"/>
          <w:sz w:val="28"/>
          <w:szCs w:val="28"/>
          <w:lang w:val="zh-CN"/>
        </w:rPr>
        <w:t>合作单位应根据</w:t>
      </w:r>
      <w:r>
        <w:rPr>
          <w:rFonts w:ascii="Times New Roman" w:hAnsi="Times New Roman" w:eastAsia="方正仿宋_GB2312" w:cs="Times New Roman"/>
          <w:color w:val="auto"/>
          <w:sz w:val="28"/>
          <w:szCs w:val="28"/>
        </w:rPr>
        <w:t>院区实际情况</w:t>
      </w:r>
      <w:r>
        <w:rPr>
          <w:rFonts w:ascii="Times New Roman" w:hAnsi="Times New Roman" w:eastAsia="方正仿宋_GB2312" w:cs="Times New Roman"/>
          <w:color w:val="auto"/>
          <w:sz w:val="28"/>
          <w:szCs w:val="28"/>
          <w:lang w:val="zh-CN"/>
        </w:rPr>
        <w:t>进行深化设计，</w:t>
      </w:r>
      <w:r>
        <w:rPr>
          <w:rFonts w:hint="eastAsia" w:ascii="Times New Roman" w:hAnsi="Times New Roman" w:eastAsia="方正仿宋_GB2312" w:cs="Times New Roman"/>
          <w:color w:val="auto"/>
          <w:sz w:val="28"/>
          <w:szCs w:val="28"/>
        </w:rPr>
        <w:t>保护好院区原有风貌，做好全面安全保障，尽量减少地面面积的占用。</w:t>
      </w:r>
      <w:r>
        <w:rPr>
          <w:rFonts w:ascii="Times New Roman" w:hAnsi="Times New Roman" w:eastAsia="方正仿宋_GB2312" w:cs="Times New Roman"/>
          <w:color w:val="auto"/>
          <w:sz w:val="28"/>
          <w:szCs w:val="28"/>
          <w:lang w:val="zh-CN"/>
        </w:rPr>
        <w:t>设计图纸经</w:t>
      </w:r>
      <w:r>
        <w:rPr>
          <w:rFonts w:ascii="Times New Roman" w:hAnsi="Times New Roman" w:eastAsia="方正仿宋_GB2312" w:cs="Times New Roman"/>
          <w:color w:val="auto"/>
          <w:sz w:val="28"/>
          <w:szCs w:val="28"/>
        </w:rPr>
        <w:t>院方</w:t>
      </w:r>
      <w:r>
        <w:rPr>
          <w:rFonts w:ascii="Times New Roman" w:hAnsi="Times New Roman" w:eastAsia="方正仿宋_GB2312" w:cs="Times New Roman"/>
          <w:color w:val="auto"/>
          <w:sz w:val="28"/>
          <w:szCs w:val="28"/>
          <w:lang w:val="zh-CN"/>
        </w:rPr>
        <w:t>审核同意后方可施工。</w:t>
      </w:r>
    </w:p>
    <w:p w14:paraId="78B51F00">
      <w:pPr>
        <w:spacing w:line="360" w:lineRule="auto"/>
        <w:ind w:firstLine="560" w:firstLineChars="200"/>
        <w:rPr>
          <w:rFonts w:ascii="Times New Roman" w:hAnsi="Times New Roman" w:eastAsia="方正仿宋_GB2312" w:cs="Times New Roman"/>
          <w:color w:val="auto"/>
          <w:sz w:val="28"/>
          <w:szCs w:val="28"/>
          <w:lang w:val="zh-CN"/>
        </w:rPr>
      </w:pPr>
      <w:r>
        <w:rPr>
          <w:rFonts w:ascii="Times New Roman" w:hAnsi="Times New Roman" w:eastAsia="方正仿宋_GB2312" w:cs="Times New Roman"/>
          <w:color w:val="auto"/>
          <w:sz w:val="28"/>
          <w:szCs w:val="28"/>
        </w:rPr>
        <w:t>16.</w:t>
      </w:r>
      <w:r>
        <w:rPr>
          <w:rFonts w:ascii="Times New Roman" w:hAnsi="Times New Roman" w:eastAsia="方正仿宋_GB2312" w:cs="Times New Roman"/>
          <w:color w:val="auto"/>
          <w:sz w:val="28"/>
          <w:szCs w:val="28"/>
          <w:lang w:val="zh-CN"/>
        </w:rPr>
        <w:t>合作单位</w:t>
      </w:r>
      <w:r>
        <w:rPr>
          <w:rFonts w:ascii="Times New Roman" w:hAnsi="Times New Roman" w:eastAsia="方正仿宋_GB2312" w:cs="Times New Roman"/>
          <w:color w:val="auto"/>
          <w:sz w:val="28"/>
          <w:szCs w:val="28"/>
        </w:rPr>
        <w:t>应提供全天候的维保服务，项目投运后若出现异常工况时，</w:t>
      </w:r>
      <w:r>
        <w:rPr>
          <w:rFonts w:ascii="Times New Roman" w:hAnsi="Times New Roman" w:eastAsia="方正仿宋_GB2312" w:cs="Times New Roman"/>
          <w:color w:val="auto"/>
          <w:sz w:val="28"/>
          <w:szCs w:val="28"/>
          <w:lang w:val="zh-CN"/>
        </w:rPr>
        <w:t>合作单位</w:t>
      </w:r>
      <w:r>
        <w:rPr>
          <w:rFonts w:ascii="Times New Roman" w:hAnsi="Times New Roman" w:eastAsia="方正仿宋_GB2312" w:cs="Times New Roman"/>
          <w:color w:val="auto"/>
          <w:sz w:val="28"/>
          <w:szCs w:val="28"/>
        </w:rPr>
        <w:t>要确保2小时内响应并查明故障原因，6小时内安排专业技术人员赶赴现场进行故障识别处理。项目运营期间，因合作单位设施设备造成的安全事故及</w:t>
      </w:r>
      <w:r>
        <w:rPr>
          <w:rFonts w:ascii="Times New Roman" w:hAnsi="Times New Roman" w:eastAsia="方正仿宋_GB2312" w:cs="Times New Roman"/>
          <w:color w:val="auto"/>
          <w:sz w:val="28"/>
          <w:szCs w:val="28"/>
          <w:lang w:val="zh-CN"/>
        </w:rPr>
        <w:t>由此造成的一切损失均由合作单位承担。</w:t>
      </w:r>
    </w:p>
    <w:p w14:paraId="62D17D79">
      <w:pPr>
        <w:ind w:firstLine="560"/>
        <w:rPr>
          <w:rFonts w:ascii="Times New Roman" w:hAnsi="Times New Roman" w:eastAsia="方正仿宋_GB2312" w:cs="Times New Roman"/>
          <w:color w:val="auto"/>
          <w:sz w:val="28"/>
          <w:szCs w:val="28"/>
        </w:rPr>
      </w:pPr>
      <w:r>
        <w:rPr>
          <w:rFonts w:hint="eastAsia" w:ascii="Times New Roman" w:hAnsi="Times New Roman" w:eastAsia="方正仿宋_GB2312" w:cs="Times New Roman"/>
          <w:color w:val="auto"/>
          <w:sz w:val="28"/>
          <w:szCs w:val="28"/>
        </w:rPr>
        <w:t>17.</w:t>
      </w:r>
      <w:r>
        <w:rPr>
          <w:rFonts w:ascii="Times New Roman" w:hAnsi="Times New Roman" w:eastAsia="方正仿宋_GB2312" w:cs="Times New Roman"/>
          <w:color w:val="auto"/>
          <w:sz w:val="28"/>
          <w:szCs w:val="28"/>
        </w:rPr>
        <w:t>如遇国家重大政策调整导致合同无法履行，经双方协商一致可解除合同，双方互不承担违约责任。双方解除合同时，合作方应拆除所有设备，</w:t>
      </w:r>
      <w:r>
        <w:rPr>
          <w:rFonts w:hint="eastAsia" w:ascii="Times New Roman" w:hAnsi="Times New Roman" w:eastAsia="方正仿宋_GB2312" w:cs="Times New Roman"/>
          <w:color w:val="auto"/>
          <w:sz w:val="28"/>
          <w:szCs w:val="28"/>
        </w:rPr>
        <w:t>重庆市大足区人民医院</w:t>
      </w:r>
      <w:r>
        <w:rPr>
          <w:rFonts w:ascii="Times New Roman" w:hAnsi="Times New Roman" w:eastAsia="方正仿宋_GB2312" w:cs="Times New Roman"/>
          <w:color w:val="auto"/>
          <w:sz w:val="28"/>
          <w:szCs w:val="28"/>
        </w:rPr>
        <w:t>不作任何补偿。</w:t>
      </w:r>
    </w:p>
    <w:p w14:paraId="577335B7">
      <w:pPr>
        <w:spacing w:line="560" w:lineRule="exact"/>
        <w:ind w:firstLine="643" w:firstLineChars="200"/>
        <w:rPr>
          <w:rFonts w:ascii="Times New Roman" w:hAnsi="Times New Roman" w:eastAsia="方正仿宋_GB2312" w:cs="Times New Roman"/>
          <w:b/>
          <w:bCs/>
          <w:color w:val="auto"/>
          <w:sz w:val="32"/>
          <w:szCs w:val="32"/>
        </w:rPr>
      </w:pPr>
      <w:r>
        <w:rPr>
          <w:rFonts w:ascii="Times New Roman" w:hAnsi="Times New Roman" w:eastAsia="方正仿宋_GB2312" w:cs="Times New Roman"/>
          <w:b/>
          <w:bCs/>
          <w:color w:val="auto"/>
          <w:sz w:val="32"/>
          <w:szCs w:val="32"/>
        </w:rPr>
        <w:t>注：以上1</w:t>
      </w:r>
      <w:r>
        <w:rPr>
          <w:rFonts w:hint="eastAsia" w:ascii="Times New Roman" w:hAnsi="Times New Roman" w:eastAsia="方正仿宋_GB2312" w:cs="Times New Roman"/>
          <w:b/>
          <w:bCs/>
          <w:color w:val="auto"/>
          <w:sz w:val="32"/>
          <w:szCs w:val="32"/>
        </w:rPr>
        <w:t>7</w:t>
      </w:r>
      <w:r>
        <w:rPr>
          <w:rFonts w:ascii="Times New Roman" w:hAnsi="Times New Roman" w:eastAsia="方正仿宋_GB2312" w:cs="Times New Roman"/>
          <w:b/>
          <w:bCs/>
          <w:color w:val="auto"/>
          <w:sz w:val="32"/>
          <w:szCs w:val="32"/>
        </w:rPr>
        <w:t>项均提供承诺函原件或证明材料复印件并加盖公章。</w:t>
      </w:r>
    </w:p>
    <w:p w14:paraId="79E08AEA">
      <w:pPr>
        <w:spacing w:line="360" w:lineRule="auto"/>
        <w:ind w:firstLine="562" w:firstLineChars="200"/>
        <w:rPr>
          <w:rFonts w:ascii="Times New Roman" w:hAnsi="Times New Roman" w:eastAsia="方正仿宋_GB2312" w:cs="Times New Roman"/>
          <w:b/>
          <w:bCs/>
          <w:color w:val="auto"/>
          <w:sz w:val="28"/>
          <w:szCs w:val="28"/>
        </w:rPr>
      </w:pPr>
      <w:r>
        <w:rPr>
          <w:rFonts w:ascii="Times New Roman" w:hAnsi="Times New Roman" w:eastAsia="方正仿宋_GB2312" w:cs="Times New Roman"/>
          <w:b/>
          <w:bCs/>
          <w:color w:val="auto"/>
          <w:sz w:val="28"/>
          <w:szCs w:val="28"/>
        </w:rPr>
        <w:t>五、商务要求</w:t>
      </w:r>
    </w:p>
    <w:p w14:paraId="363E2041">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（一）光伏供电费用计取方式</w:t>
      </w:r>
    </w:p>
    <w:p w14:paraId="29D18541">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光伏电站供电费用按照月结方式进行支付，费用结算</w:t>
      </w:r>
      <w:r>
        <w:rPr>
          <w:rFonts w:ascii="Times New Roman" w:hAnsi="Times New Roman" w:eastAsia="方正仿宋_GB2312" w:cs="Times New Roman"/>
          <w:color w:val="auto"/>
          <w:sz w:val="28"/>
          <w:szCs w:val="28"/>
          <w:lang w:val="zh-CN"/>
        </w:rPr>
        <w:t>方式为：</w:t>
      </w:r>
      <w:r>
        <w:rPr>
          <w:rFonts w:ascii="Times New Roman" w:hAnsi="Times New Roman" w:eastAsia="方正仿宋_GB2312" w:cs="Times New Roman"/>
          <w:color w:val="auto"/>
          <w:sz w:val="28"/>
          <w:szCs w:val="28"/>
        </w:rPr>
        <w:t>当月用电费用=中选电价</w:t>
      </w:r>
      <w:r>
        <w:rPr>
          <w:rFonts w:ascii="Times New Roman" w:hAnsi="Times New Roman" w:eastAsia="方正仿宋_GB2312" w:cs="Times New Roman"/>
          <w:color w:val="auto"/>
          <w:sz w:val="28"/>
          <w:szCs w:val="28"/>
          <w:lang w:val="zh-CN"/>
        </w:rPr>
        <w:t>*院区</w:t>
      </w:r>
      <w:r>
        <w:rPr>
          <w:rFonts w:ascii="Times New Roman" w:hAnsi="Times New Roman" w:eastAsia="方正仿宋_GB2312" w:cs="Times New Roman"/>
          <w:color w:val="auto"/>
          <w:sz w:val="28"/>
          <w:szCs w:val="28"/>
        </w:rPr>
        <w:t>当月光伏供电</w:t>
      </w:r>
      <w:r>
        <w:rPr>
          <w:rFonts w:ascii="Times New Roman" w:hAnsi="Times New Roman" w:eastAsia="方正仿宋_GB2312" w:cs="Times New Roman"/>
          <w:color w:val="auto"/>
          <w:sz w:val="28"/>
          <w:szCs w:val="28"/>
          <w:lang w:val="zh-CN"/>
        </w:rPr>
        <w:t>实际</w:t>
      </w:r>
      <w:r>
        <w:rPr>
          <w:rFonts w:hint="eastAsia" w:ascii="Times New Roman" w:hAnsi="Times New Roman" w:eastAsia="方正仿宋_GB2312" w:cs="Times New Roman"/>
          <w:color w:val="auto"/>
          <w:sz w:val="28"/>
          <w:szCs w:val="28"/>
        </w:rPr>
        <w:t>使用</w:t>
      </w:r>
      <w:r>
        <w:rPr>
          <w:rFonts w:ascii="Times New Roman" w:hAnsi="Times New Roman" w:eastAsia="方正仿宋_GB2312" w:cs="Times New Roman"/>
          <w:color w:val="auto"/>
          <w:sz w:val="28"/>
          <w:szCs w:val="28"/>
        </w:rPr>
        <w:t>电</w:t>
      </w:r>
      <w:r>
        <w:rPr>
          <w:rFonts w:ascii="Times New Roman" w:hAnsi="Times New Roman" w:eastAsia="方正仿宋_GB2312" w:cs="Times New Roman"/>
          <w:color w:val="auto"/>
          <w:sz w:val="28"/>
          <w:szCs w:val="28"/>
          <w:lang w:val="zh-CN"/>
        </w:rPr>
        <w:t>量；</w:t>
      </w:r>
    </w:p>
    <w:p w14:paraId="2032B9AE">
      <w:pPr>
        <w:spacing w:line="360" w:lineRule="auto"/>
        <w:ind w:firstLine="560" w:firstLineChars="200"/>
        <w:rPr>
          <w:rFonts w:ascii="Times New Roman" w:hAnsi="Times New Roman" w:eastAsia="方正仿宋_GB2312" w:cs="Times New Roman"/>
          <w:color w:val="auto"/>
          <w:sz w:val="28"/>
          <w:szCs w:val="28"/>
          <w:lang w:val="zh-CN"/>
        </w:rPr>
      </w:pPr>
      <w:r>
        <w:rPr>
          <w:rFonts w:ascii="Times New Roman" w:hAnsi="Times New Roman" w:eastAsia="方正仿宋_GB2312" w:cs="Times New Roman"/>
          <w:color w:val="auto"/>
          <w:sz w:val="28"/>
          <w:szCs w:val="28"/>
        </w:rPr>
        <w:t>合作单位</w:t>
      </w:r>
      <w:r>
        <w:rPr>
          <w:rFonts w:ascii="Times New Roman" w:hAnsi="Times New Roman" w:eastAsia="方正仿宋_GB2312" w:cs="Times New Roman"/>
          <w:color w:val="auto"/>
          <w:sz w:val="28"/>
          <w:szCs w:val="28"/>
          <w:lang w:val="zh-CN"/>
        </w:rPr>
        <w:t>自报</w:t>
      </w:r>
      <w:r>
        <w:rPr>
          <w:rFonts w:hint="eastAsia" w:ascii="Times New Roman" w:hAnsi="Times New Roman" w:eastAsia="方正仿宋_GB2312" w:cs="Times New Roman"/>
          <w:color w:val="auto"/>
          <w:sz w:val="28"/>
          <w:szCs w:val="28"/>
          <w:lang w:val="zh-CN"/>
        </w:rPr>
        <w:t>光伏发电的固定电价，</w:t>
      </w:r>
      <w:r>
        <w:rPr>
          <w:rFonts w:ascii="Times New Roman" w:hAnsi="Times New Roman" w:eastAsia="方正仿宋_GB2312" w:cs="Times New Roman"/>
          <w:color w:val="auto"/>
          <w:sz w:val="28"/>
          <w:szCs w:val="28"/>
        </w:rPr>
        <w:t>合作方</w:t>
      </w:r>
      <w:r>
        <w:rPr>
          <w:rFonts w:ascii="Times New Roman" w:hAnsi="Times New Roman" w:eastAsia="方正仿宋_GB2312" w:cs="Times New Roman"/>
          <w:color w:val="auto"/>
          <w:sz w:val="28"/>
          <w:szCs w:val="28"/>
          <w:lang w:val="zh-CN"/>
        </w:rPr>
        <w:t>所报价格应为含税全包价，包括与提供服务相关的资料费（含修改完善资料）、设计费、施工安装费、调试费、运营维护费、材料费、人工费、设备费、办公费、差旅费、住宿费、交通费、会议费、评审费、检测费、监测费、监管费、保险费、税费、验收及知识产权、印花税等一切费用，</w:t>
      </w:r>
      <w:r>
        <w:rPr>
          <w:rFonts w:ascii="Times New Roman" w:hAnsi="Times New Roman" w:eastAsia="方正仿宋_GB2312" w:cs="Times New Roman"/>
          <w:color w:val="auto"/>
          <w:sz w:val="28"/>
          <w:szCs w:val="28"/>
        </w:rPr>
        <w:t>院方不</w:t>
      </w:r>
      <w:r>
        <w:rPr>
          <w:rFonts w:ascii="Times New Roman" w:hAnsi="Times New Roman" w:eastAsia="方正仿宋_GB2312" w:cs="Times New Roman"/>
          <w:color w:val="auto"/>
          <w:sz w:val="28"/>
          <w:szCs w:val="28"/>
          <w:lang w:val="zh-CN"/>
        </w:rPr>
        <w:t>支付任何费用。</w:t>
      </w:r>
    </w:p>
    <w:p w14:paraId="5509FC23">
      <w:pPr>
        <w:pStyle w:val="3"/>
        <w:numPr>
          <w:ilvl w:val="0"/>
          <w:numId w:val="2"/>
        </w:numPr>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储能收益分成计取模式</w:t>
      </w:r>
    </w:p>
    <w:p w14:paraId="7B1A9FD5">
      <w:pPr>
        <w:pStyle w:val="3"/>
        <w:numPr>
          <w:ilvl w:val="255"/>
          <w:numId w:val="0"/>
        </w:numPr>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储能系统在谷/平时电价时段存储电力能源，在尖峰/高峰/平时电价时段向医院的负载供电，利用尖/峰谷、峰平、平谷时段的电价差特点产生节能效益，由院方和合作单位对节能效益进行分成。</w:t>
      </w:r>
    </w:p>
    <w:p w14:paraId="47729568">
      <w:pPr>
        <w:pStyle w:val="3"/>
        <w:numPr>
          <w:ilvl w:val="0"/>
          <w:numId w:val="3"/>
        </w:numPr>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储能节能效益=储能放电量（即院方通过储能系统使用的电量）×当地供电局同时段同等电量结算电价（尖峰电价/峰时电价/平时电价）-储能充电量×当地供电局同时段同等电量结算电价（谷时电价/平时电价）</w:t>
      </w:r>
    </w:p>
    <w:p w14:paraId="11DA8755">
      <w:pPr>
        <w:pStyle w:val="3"/>
        <w:numPr>
          <w:ilvl w:val="0"/>
          <w:numId w:val="3"/>
        </w:numPr>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分成比例：运营期内，招标人医院方与合作单位按照遴选中标约定的比例分享项目的节能效益。</w:t>
      </w:r>
    </w:p>
    <w:p w14:paraId="4EBB3245">
      <w:pPr>
        <w:pStyle w:val="3"/>
        <w:numPr>
          <w:ilvl w:val="0"/>
          <w:numId w:val="3"/>
        </w:numPr>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储能收益分成按照月结方式进行分配、支付。</w:t>
      </w:r>
    </w:p>
    <w:p w14:paraId="7E846D8F">
      <w:pPr>
        <w:pStyle w:val="3"/>
        <w:numPr>
          <w:ilvl w:val="0"/>
          <w:numId w:val="3"/>
        </w:numPr>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合作单位需对医院方因配置储能系统调整为分时电价计费方式的用电成本进行兜底：保证医院调整为分时电价后，使用国网电量和储能电量的总用电费用在扣除储能收益后不高于同等电量下按照国网对应的固定电价计费的总费用；若超出固定电价计费方式的总费用，合作单位应对超出部分予以补贴，补贴部分不足以弥补时，医院有权恢复固定电价计费方式。</w:t>
      </w:r>
    </w:p>
    <w:p w14:paraId="396C07C0">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（三）建设工期及运营合作期限</w:t>
      </w:r>
    </w:p>
    <w:p w14:paraId="007233E2">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建设工期：合作单位</w:t>
      </w:r>
      <w:r>
        <w:rPr>
          <w:rFonts w:ascii="Times New Roman" w:hAnsi="Times New Roman" w:eastAsia="方正仿宋_GB2312" w:cs="Times New Roman"/>
          <w:color w:val="auto"/>
          <w:sz w:val="28"/>
          <w:szCs w:val="28"/>
          <w:lang w:val="zh-CN"/>
        </w:rPr>
        <w:t>应在中</w:t>
      </w:r>
      <w:r>
        <w:rPr>
          <w:rFonts w:ascii="Times New Roman" w:hAnsi="Times New Roman" w:eastAsia="方正仿宋_GB2312" w:cs="Times New Roman"/>
          <w:color w:val="auto"/>
          <w:sz w:val="28"/>
          <w:szCs w:val="28"/>
        </w:rPr>
        <w:t>选完成合作协议签订</w:t>
      </w:r>
      <w:r>
        <w:rPr>
          <w:rFonts w:ascii="Times New Roman" w:hAnsi="Times New Roman" w:eastAsia="方正仿宋_GB2312" w:cs="Times New Roman"/>
          <w:color w:val="auto"/>
          <w:sz w:val="28"/>
          <w:szCs w:val="28"/>
          <w:lang w:val="zh-CN"/>
        </w:rPr>
        <w:t>后</w:t>
      </w:r>
      <w:r>
        <w:rPr>
          <w:rFonts w:ascii="Times New Roman" w:hAnsi="Times New Roman" w:eastAsia="方正仿宋_GB2312" w:cs="Times New Roman"/>
          <w:color w:val="auto"/>
          <w:sz w:val="28"/>
          <w:szCs w:val="28"/>
        </w:rPr>
        <w:t>180天内完成项目</w:t>
      </w:r>
      <w:r>
        <w:rPr>
          <w:rFonts w:ascii="Times New Roman" w:hAnsi="Times New Roman" w:eastAsia="方正仿宋_GB2312" w:cs="Times New Roman"/>
          <w:color w:val="auto"/>
          <w:sz w:val="28"/>
          <w:szCs w:val="28"/>
          <w:lang w:val="zh-CN"/>
        </w:rPr>
        <w:t>规划、设计、安装、调试、验收、并网等</w:t>
      </w:r>
      <w:r>
        <w:rPr>
          <w:rFonts w:ascii="Times New Roman" w:hAnsi="Times New Roman" w:eastAsia="方正仿宋_GB2312" w:cs="Times New Roman"/>
          <w:color w:val="auto"/>
          <w:sz w:val="28"/>
          <w:szCs w:val="28"/>
        </w:rPr>
        <w:t>内容。</w:t>
      </w:r>
    </w:p>
    <w:p w14:paraId="383D247E">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运营合作期限：</w:t>
      </w:r>
      <w:r>
        <w:rPr>
          <w:rFonts w:hint="eastAsia" w:ascii="Times New Roman" w:hAnsi="Times New Roman" w:eastAsia="方正仿宋_GB2312" w:cs="Times New Roman"/>
          <w:color w:val="auto"/>
          <w:sz w:val="28"/>
          <w:szCs w:val="28"/>
        </w:rPr>
        <w:t>合作单位自报合作期限</w:t>
      </w:r>
      <w:r>
        <w:rPr>
          <w:rFonts w:ascii="Times New Roman" w:hAnsi="Times New Roman" w:eastAsia="方正仿宋_GB2312" w:cs="Times New Roman"/>
          <w:color w:val="auto"/>
          <w:sz w:val="28"/>
          <w:szCs w:val="28"/>
        </w:rPr>
        <w:t>。</w:t>
      </w:r>
    </w:p>
    <w:p w14:paraId="1CADC2E1">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（四）履约保函</w:t>
      </w:r>
    </w:p>
    <w:p w14:paraId="5119ED28">
      <w:pPr>
        <w:spacing w:line="360" w:lineRule="auto"/>
        <w:ind w:firstLine="560" w:firstLineChars="200"/>
        <w:rPr>
          <w:rFonts w:ascii="Times New Roman" w:hAnsi="Times New Roman" w:eastAsia="方正仿宋_GB2312" w:cs="Times New Roman"/>
          <w:color w:val="auto"/>
          <w:sz w:val="28"/>
          <w:szCs w:val="28"/>
          <w:lang w:val="zh-CN"/>
        </w:rPr>
      </w:pPr>
      <w:r>
        <w:rPr>
          <w:rFonts w:ascii="Times New Roman" w:hAnsi="Times New Roman" w:eastAsia="方正仿宋_GB2312" w:cs="Times New Roman"/>
          <w:color w:val="auto"/>
          <w:sz w:val="28"/>
          <w:szCs w:val="28"/>
        </w:rPr>
        <w:t>中选合作单位</w:t>
      </w:r>
      <w:r>
        <w:rPr>
          <w:rFonts w:ascii="Times New Roman" w:hAnsi="Times New Roman" w:eastAsia="方正仿宋_GB2312" w:cs="Times New Roman"/>
          <w:color w:val="auto"/>
          <w:sz w:val="28"/>
          <w:szCs w:val="28"/>
          <w:lang w:val="zh-CN"/>
        </w:rPr>
        <w:t>应在签订</w:t>
      </w:r>
      <w:r>
        <w:rPr>
          <w:rFonts w:ascii="Times New Roman" w:hAnsi="Times New Roman" w:eastAsia="方正仿宋_GB2312" w:cs="Times New Roman"/>
          <w:color w:val="auto"/>
          <w:sz w:val="28"/>
          <w:szCs w:val="28"/>
        </w:rPr>
        <w:t>合作</w:t>
      </w:r>
      <w:r>
        <w:rPr>
          <w:rFonts w:ascii="Times New Roman" w:hAnsi="Times New Roman" w:eastAsia="方正仿宋_GB2312" w:cs="Times New Roman"/>
          <w:color w:val="auto"/>
          <w:sz w:val="28"/>
          <w:szCs w:val="28"/>
          <w:lang w:val="zh-CN"/>
        </w:rPr>
        <w:t>协议后5日内向</w:t>
      </w:r>
      <w:r>
        <w:rPr>
          <w:rFonts w:ascii="Times New Roman" w:hAnsi="Times New Roman" w:eastAsia="方正仿宋_GB2312" w:cs="Times New Roman"/>
          <w:color w:val="auto"/>
          <w:sz w:val="28"/>
          <w:szCs w:val="28"/>
        </w:rPr>
        <w:t>招标人提交50万的银行</w:t>
      </w:r>
      <w:r>
        <w:rPr>
          <w:rFonts w:ascii="Times New Roman" w:hAnsi="Times New Roman" w:eastAsia="方正仿宋_GB2312" w:cs="Times New Roman"/>
          <w:color w:val="auto"/>
          <w:sz w:val="28"/>
          <w:szCs w:val="28"/>
          <w:lang w:val="zh-CN"/>
        </w:rPr>
        <w:t>履约</w:t>
      </w:r>
      <w:r>
        <w:rPr>
          <w:rFonts w:ascii="Times New Roman" w:hAnsi="Times New Roman" w:eastAsia="方正仿宋_GB2312" w:cs="Times New Roman"/>
          <w:color w:val="auto"/>
          <w:sz w:val="28"/>
          <w:szCs w:val="28"/>
        </w:rPr>
        <w:t>保函</w:t>
      </w:r>
      <w:r>
        <w:rPr>
          <w:rFonts w:ascii="Times New Roman" w:hAnsi="Times New Roman" w:eastAsia="方正仿宋_GB2312" w:cs="Times New Roman"/>
          <w:color w:val="auto"/>
          <w:sz w:val="28"/>
          <w:szCs w:val="28"/>
          <w:lang w:val="zh-CN"/>
        </w:rPr>
        <w:t>，若在</w:t>
      </w:r>
      <w:r>
        <w:rPr>
          <w:rFonts w:ascii="Times New Roman" w:hAnsi="Times New Roman" w:eastAsia="方正仿宋_GB2312" w:cs="Times New Roman"/>
          <w:color w:val="auto"/>
          <w:sz w:val="28"/>
          <w:szCs w:val="28"/>
        </w:rPr>
        <w:t>施工</w:t>
      </w:r>
      <w:r>
        <w:rPr>
          <w:rFonts w:ascii="Times New Roman" w:hAnsi="Times New Roman" w:eastAsia="方正仿宋_GB2312" w:cs="Times New Roman"/>
          <w:color w:val="auto"/>
          <w:sz w:val="28"/>
          <w:szCs w:val="28"/>
          <w:lang w:val="zh-CN"/>
        </w:rPr>
        <w:t>期限内</w:t>
      </w:r>
      <w:r>
        <w:rPr>
          <w:rFonts w:ascii="Times New Roman" w:hAnsi="Times New Roman" w:eastAsia="方正仿宋_GB2312" w:cs="Times New Roman"/>
          <w:color w:val="auto"/>
          <w:sz w:val="28"/>
          <w:szCs w:val="28"/>
        </w:rPr>
        <w:t>合作单位未尽到合同约定相关义务，院方有权使用履约保函进行相关问题解决。</w:t>
      </w:r>
    </w:p>
    <w:p w14:paraId="6AABF2F1">
      <w:pPr>
        <w:spacing w:line="360" w:lineRule="auto"/>
        <w:ind w:firstLine="562" w:firstLineChars="200"/>
        <w:rPr>
          <w:rFonts w:ascii="Times New Roman" w:hAnsi="Times New Roman" w:eastAsia="方正仿宋_GB2312" w:cs="Times New Roman"/>
          <w:b/>
          <w:bCs/>
          <w:color w:val="auto"/>
          <w:sz w:val="28"/>
          <w:szCs w:val="28"/>
        </w:rPr>
      </w:pPr>
      <w:r>
        <w:rPr>
          <w:rFonts w:ascii="Times New Roman" w:hAnsi="Times New Roman" w:eastAsia="方正仿宋_GB2312" w:cs="Times New Roman"/>
          <w:b/>
          <w:bCs/>
          <w:color w:val="auto"/>
          <w:sz w:val="28"/>
          <w:szCs w:val="28"/>
        </w:rPr>
        <w:t>备注：商务要求属于实质性响应条款，参选单位均需提供承诺函加盖单位公章，格式自拟。未满足实质性响应条款的，将被列为无效参选单位。</w:t>
      </w:r>
    </w:p>
    <w:p w14:paraId="6193F877">
      <w:pPr>
        <w:spacing w:line="360" w:lineRule="auto"/>
        <w:rPr>
          <w:rFonts w:ascii="Times New Roman" w:hAnsi="Times New Roman" w:eastAsia="方正仿宋_GB2312" w:cs="Times New Roman"/>
          <w:color w:val="auto"/>
          <w:sz w:val="28"/>
          <w:szCs w:val="28"/>
        </w:rPr>
        <w:sectPr>
          <w:pgSz w:w="11906" w:h="16838"/>
          <w:pgMar w:top="1440" w:right="1800" w:bottom="1440" w:left="1800" w:header="851" w:footer="992" w:gutter="0"/>
          <w:cols w:space="425" w:num="1"/>
          <w:docGrid w:type="lines" w:linePitch="312" w:charSpace="0"/>
        </w:sectPr>
      </w:pPr>
    </w:p>
    <w:p w14:paraId="624C4E1A">
      <w:pPr>
        <w:numPr>
          <w:ilvl w:val="0"/>
          <w:numId w:val="4"/>
        </w:numPr>
        <w:spacing w:line="360" w:lineRule="auto"/>
        <w:ind w:firstLine="562" w:firstLineChars="200"/>
        <w:rPr>
          <w:rFonts w:ascii="Times New Roman" w:hAnsi="Times New Roman" w:eastAsia="方正仿宋_GB2312" w:cs="Times New Roman"/>
          <w:b/>
          <w:bCs/>
          <w:color w:val="auto"/>
          <w:sz w:val="28"/>
          <w:szCs w:val="28"/>
        </w:rPr>
      </w:pPr>
      <w:r>
        <w:rPr>
          <w:rFonts w:ascii="Times New Roman" w:hAnsi="Times New Roman" w:eastAsia="方正仿宋_GB2312" w:cs="Times New Roman"/>
          <w:b/>
          <w:bCs/>
          <w:color w:val="auto"/>
          <w:sz w:val="28"/>
          <w:szCs w:val="28"/>
        </w:rPr>
        <w:t xml:space="preserve"> 项目遴选要求</w:t>
      </w:r>
    </w:p>
    <w:p w14:paraId="3EFC82A4">
      <w:pPr>
        <w:numPr>
          <w:ilvl w:val="0"/>
          <w:numId w:val="5"/>
        </w:numPr>
        <w:spacing w:line="360" w:lineRule="auto"/>
        <w:ind w:firstLine="562" w:firstLineChars="200"/>
        <w:rPr>
          <w:rFonts w:ascii="Times New Roman" w:hAnsi="Times New Roman" w:eastAsia="方正仿宋_GB2312" w:cs="Times New Roman"/>
          <w:b/>
          <w:bCs/>
          <w:color w:val="auto"/>
          <w:sz w:val="28"/>
          <w:szCs w:val="28"/>
        </w:rPr>
      </w:pPr>
      <w:r>
        <w:rPr>
          <w:rFonts w:ascii="Times New Roman" w:hAnsi="Times New Roman" w:eastAsia="方正仿宋_GB2312" w:cs="Times New Roman"/>
          <w:b/>
          <w:bCs/>
          <w:color w:val="auto"/>
          <w:sz w:val="28"/>
          <w:szCs w:val="28"/>
        </w:rPr>
        <w:t>合作方案</w:t>
      </w:r>
    </w:p>
    <w:p w14:paraId="33634102">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参选单位至少需提供包括(不限于)以下内容：</w:t>
      </w:r>
    </w:p>
    <w:p w14:paraId="01C1AAFE">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一、医院供电潜在问题及保障措施分析；</w:t>
      </w:r>
    </w:p>
    <w:p w14:paraId="7DC98DC3">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二、项目总体设计与实施方案；</w:t>
      </w:r>
    </w:p>
    <w:p w14:paraId="38507A96">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三、项目运营管理方案；</w:t>
      </w:r>
    </w:p>
    <w:p w14:paraId="027BA9EF">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四、项目投资估算；</w:t>
      </w:r>
    </w:p>
    <w:p w14:paraId="5D32D657">
      <w:pPr>
        <w:spacing w:line="360" w:lineRule="auto"/>
        <w:ind w:firstLine="560" w:firstLineChars="200"/>
        <w:rPr>
          <w:rFonts w:ascii="Times New Roman" w:hAnsi="Times New Roman" w:eastAsia="方正仿宋_GB2312" w:cs="Times New Roman"/>
          <w:color w:val="auto"/>
          <w:sz w:val="28"/>
          <w:szCs w:val="28"/>
        </w:rPr>
      </w:pPr>
      <w:r>
        <w:rPr>
          <w:rFonts w:ascii="Times New Roman" w:hAnsi="Times New Roman" w:eastAsia="方正仿宋_GB2312" w:cs="Times New Roman"/>
          <w:color w:val="auto"/>
          <w:sz w:val="28"/>
          <w:szCs w:val="28"/>
        </w:rPr>
        <w:t>五、合作模式及经济性评估；</w:t>
      </w:r>
    </w:p>
    <w:p w14:paraId="3C173D34">
      <w:pPr>
        <w:numPr>
          <w:ilvl w:val="0"/>
          <w:numId w:val="5"/>
        </w:numPr>
        <w:spacing w:line="360" w:lineRule="auto"/>
        <w:ind w:firstLine="562" w:firstLineChars="200"/>
        <w:rPr>
          <w:rFonts w:ascii="Times New Roman" w:hAnsi="Times New Roman" w:eastAsia="方正仿宋_GB2312" w:cs="Times New Roman"/>
          <w:b/>
          <w:bCs/>
          <w:color w:val="auto"/>
          <w:sz w:val="28"/>
          <w:szCs w:val="28"/>
        </w:rPr>
      </w:pPr>
      <w:r>
        <w:rPr>
          <w:rFonts w:ascii="Times New Roman" w:hAnsi="Times New Roman" w:eastAsia="方正仿宋_GB2312" w:cs="Times New Roman"/>
          <w:b/>
          <w:bCs/>
          <w:color w:val="auto"/>
          <w:sz w:val="28"/>
          <w:szCs w:val="28"/>
        </w:rPr>
        <w:t>报价方式</w:t>
      </w:r>
    </w:p>
    <w:tbl>
      <w:tblPr>
        <w:tblStyle w:val="4"/>
        <w:tblpPr w:leftFromText="180" w:rightFromText="180" w:vertAnchor="text" w:horzAnchor="page" w:tblpX="2296" w:tblpY="201"/>
        <w:tblOverlap w:val="never"/>
        <w:tblW w:w="4998" w:type="pct"/>
        <w:tblInd w:w="0" w:type="dxa"/>
        <w:tblLayout w:type="autofit"/>
        <w:tblCellMar>
          <w:top w:w="0" w:type="dxa"/>
          <w:left w:w="10" w:type="dxa"/>
          <w:bottom w:w="0" w:type="dxa"/>
          <w:right w:w="10" w:type="dxa"/>
        </w:tblCellMar>
      </w:tblPr>
      <w:tblGrid>
        <w:gridCol w:w="2022"/>
        <w:gridCol w:w="772"/>
        <w:gridCol w:w="1361"/>
        <w:gridCol w:w="4364"/>
      </w:tblGrid>
      <w:tr w14:paraId="7BDEB934">
        <w:tblPrEx>
          <w:tblCellMar>
            <w:top w:w="0" w:type="dxa"/>
            <w:left w:w="10" w:type="dxa"/>
            <w:bottom w:w="0" w:type="dxa"/>
            <w:right w:w="10" w:type="dxa"/>
          </w:tblCellMar>
        </w:tblPrEx>
        <w:trPr>
          <w:trHeight w:val="176" w:hRule="atLeast"/>
        </w:trPr>
        <w:tc>
          <w:tcPr>
            <w:tcW w:w="1187"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2D899305">
            <w:pPr>
              <w:jc w:val="center"/>
              <w:rPr>
                <w:rFonts w:ascii="Times New Roman" w:hAnsi="Times New Roman" w:eastAsia="方正仿宋_GB2312" w:cs="Times New Roman"/>
                <w:b/>
                <w:bCs/>
                <w:color w:val="auto"/>
                <w:sz w:val="24"/>
                <w:szCs w:val="24"/>
              </w:rPr>
            </w:pPr>
            <w:r>
              <w:rPr>
                <w:rFonts w:ascii="Times New Roman" w:hAnsi="Times New Roman" w:eastAsia="方正仿宋_GB2312" w:cs="Times New Roman"/>
                <w:b/>
                <w:bCs/>
                <w:color w:val="auto"/>
                <w:sz w:val="24"/>
                <w:szCs w:val="24"/>
              </w:rPr>
              <w:t>项目</w:t>
            </w:r>
          </w:p>
        </w:tc>
        <w:tc>
          <w:tcPr>
            <w:tcW w:w="453"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11D9E6E2">
            <w:pPr>
              <w:jc w:val="center"/>
              <w:rPr>
                <w:rFonts w:ascii="Times New Roman" w:hAnsi="Times New Roman" w:eastAsia="方正仿宋_GB2312" w:cs="Times New Roman"/>
                <w:b/>
                <w:bCs/>
                <w:color w:val="auto"/>
                <w:sz w:val="24"/>
                <w:szCs w:val="24"/>
              </w:rPr>
            </w:pPr>
            <w:r>
              <w:rPr>
                <w:rFonts w:ascii="Times New Roman" w:hAnsi="Times New Roman" w:eastAsia="方正仿宋_GB2312" w:cs="Times New Roman"/>
                <w:b/>
                <w:bCs/>
                <w:color w:val="auto"/>
                <w:sz w:val="24"/>
                <w:szCs w:val="24"/>
              </w:rPr>
              <w:t>类别</w:t>
            </w:r>
          </w:p>
        </w:tc>
        <w:tc>
          <w:tcPr>
            <w:tcW w:w="799"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6F7B2B30">
            <w:pPr>
              <w:jc w:val="center"/>
              <w:rPr>
                <w:rFonts w:ascii="Times New Roman" w:hAnsi="Times New Roman" w:eastAsia="方正仿宋_GB2312" w:cs="Times New Roman"/>
                <w:b/>
                <w:bCs/>
                <w:color w:val="auto"/>
                <w:sz w:val="24"/>
                <w:szCs w:val="24"/>
              </w:rPr>
            </w:pPr>
            <w:r>
              <w:rPr>
                <w:rFonts w:ascii="Times New Roman" w:hAnsi="Times New Roman" w:eastAsia="方正仿宋_GB2312" w:cs="Times New Roman"/>
                <w:b/>
                <w:bCs/>
                <w:color w:val="auto"/>
                <w:sz w:val="24"/>
                <w:szCs w:val="24"/>
              </w:rPr>
              <w:t>报价</w:t>
            </w:r>
          </w:p>
        </w:tc>
        <w:tc>
          <w:tcPr>
            <w:tcW w:w="2561"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6334CE64">
            <w:pPr>
              <w:jc w:val="center"/>
              <w:rPr>
                <w:rFonts w:ascii="Times New Roman" w:hAnsi="Times New Roman" w:eastAsia="方正仿宋_GB2312" w:cs="Times New Roman"/>
                <w:b/>
                <w:bCs/>
                <w:color w:val="auto"/>
                <w:sz w:val="24"/>
                <w:szCs w:val="24"/>
              </w:rPr>
            </w:pPr>
            <w:r>
              <w:rPr>
                <w:rFonts w:ascii="Times New Roman" w:hAnsi="Times New Roman" w:eastAsia="方正仿宋_GB2312" w:cs="Times New Roman"/>
                <w:b/>
                <w:bCs/>
                <w:color w:val="auto"/>
                <w:sz w:val="24"/>
                <w:szCs w:val="24"/>
              </w:rPr>
              <w:t>备注</w:t>
            </w:r>
          </w:p>
        </w:tc>
      </w:tr>
      <w:tr w14:paraId="0EE66353">
        <w:tblPrEx>
          <w:tblCellMar>
            <w:top w:w="0" w:type="dxa"/>
            <w:left w:w="10" w:type="dxa"/>
            <w:bottom w:w="0" w:type="dxa"/>
            <w:right w:w="10" w:type="dxa"/>
          </w:tblCellMar>
        </w:tblPrEx>
        <w:trPr>
          <w:trHeight w:val="1308" w:hRule="atLeast"/>
        </w:trPr>
        <w:tc>
          <w:tcPr>
            <w:tcW w:w="1187" w:type="pct"/>
            <w:vMerge w:val="restart"/>
            <w:tcBorders>
              <w:top w:val="single" w:color="auto" w:sz="8" w:space="0"/>
              <w:left w:val="single" w:color="auto" w:sz="8" w:space="0"/>
              <w:right w:val="single" w:color="auto" w:sz="8" w:space="0"/>
            </w:tcBorders>
            <w:shd w:val="clear" w:color="000000" w:fill="FFFFFF"/>
            <w:tcMar>
              <w:left w:w="108" w:type="dxa"/>
              <w:right w:w="108" w:type="dxa"/>
            </w:tcMar>
            <w:vAlign w:val="center"/>
          </w:tcPr>
          <w:p w14:paraId="2A73E8CB">
            <w:pPr>
              <w:spacing w:line="360" w:lineRule="auto"/>
              <w:jc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sz w:val="24"/>
                <w:szCs w:val="24"/>
              </w:rPr>
              <w:t>重庆市大足区人民医院分布式光伏发电及储能系统合作开发项目</w:t>
            </w:r>
          </w:p>
          <w:p w14:paraId="3BB6729D">
            <w:pPr>
              <w:spacing w:line="360" w:lineRule="auto"/>
              <w:jc w:val="center"/>
              <w:rPr>
                <w:rFonts w:ascii="Times New Roman" w:hAnsi="Times New Roman" w:eastAsia="方正仿宋_GB2312" w:cs="Times New Roman"/>
                <w:color w:val="auto"/>
                <w:sz w:val="24"/>
                <w:szCs w:val="24"/>
              </w:rPr>
            </w:pPr>
          </w:p>
        </w:tc>
        <w:tc>
          <w:tcPr>
            <w:tcW w:w="453"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6157B3B8">
            <w:pPr>
              <w:spacing w:line="360" w:lineRule="auto"/>
              <w:jc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sz w:val="24"/>
                <w:szCs w:val="24"/>
              </w:rPr>
              <w:t>光伏</w:t>
            </w:r>
          </w:p>
        </w:tc>
        <w:tc>
          <w:tcPr>
            <w:tcW w:w="799"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7C968D01">
            <w:pPr>
              <w:spacing w:line="360" w:lineRule="auto"/>
              <w:jc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sz w:val="24"/>
                <w:szCs w:val="24"/>
              </w:rPr>
              <w:t>元/KWh</w:t>
            </w:r>
          </w:p>
        </w:tc>
        <w:tc>
          <w:tcPr>
            <w:tcW w:w="2561"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36AC6689">
            <w:pPr>
              <w:spacing w:line="360" w:lineRule="auto"/>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sz w:val="24"/>
                <w:szCs w:val="24"/>
              </w:rPr>
              <w:t>本项目以</w:t>
            </w:r>
            <w:r>
              <w:rPr>
                <w:rFonts w:hint="eastAsia" w:ascii="Times New Roman" w:hAnsi="Times New Roman" w:eastAsia="方正仿宋_GB2312" w:cs="Times New Roman"/>
                <w:color w:val="auto"/>
                <w:sz w:val="24"/>
                <w:szCs w:val="24"/>
              </w:rPr>
              <w:t>固定电价</w:t>
            </w:r>
            <w:r>
              <w:rPr>
                <w:rFonts w:ascii="Times New Roman" w:hAnsi="Times New Roman" w:eastAsia="方正仿宋_GB2312" w:cs="Times New Roman"/>
                <w:color w:val="auto"/>
                <w:sz w:val="24"/>
                <w:szCs w:val="24"/>
              </w:rPr>
              <w:t>进行报价。</w:t>
            </w:r>
            <w:r>
              <w:rPr>
                <w:rFonts w:hint="eastAsia" w:ascii="Times New Roman" w:hAnsi="Times New Roman" w:eastAsia="方正仿宋_GB2312" w:cs="Times New Roman"/>
                <w:color w:val="auto"/>
                <w:sz w:val="24"/>
                <w:szCs w:val="24"/>
              </w:rPr>
              <w:t>即</w:t>
            </w:r>
            <w:r>
              <w:rPr>
                <w:rFonts w:ascii="Times New Roman" w:hAnsi="Times New Roman" w:eastAsia="方正仿宋_GB2312" w:cs="Times New Roman"/>
                <w:color w:val="auto"/>
                <w:sz w:val="24"/>
                <w:szCs w:val="24"/>
              </w:rPr>
              <w:t>结算金额为</w:t>
            </w:r>
            <w:r>
              <w:rPr>
                <w:rFonts w:hint="eastAsia" w:ascii="Times New Roman" w:hAnsi="Times New Roman" w:eastAsia="方正仿宋_GB2312" w:cs="Times New Roman"/>
                <w:color w:val="auto"/>
                <w:sz w:val="24"/>
                <w:szCs w:val="24"/>
              </w:rPr>
              <w:t>中选固定电价</w:t>
            </w:r>
            <w:r>
              <w:rPr>
                <w:rFonts w:ascii="Times New Roman" w:hAnsi="Times New Roman" w:eastAsia="方正仿宋_GB2312" w:cs="Times New Roman"/>
                <w:color w:val="auto"/>
                <w:sz w:val="24"/>
                <w:szCs w:val="24"/>
              </w:rPr>
              <w:t>*光伏供电实际</w:t>
            </w:r>
            <w:r>
              <w:rPr>
                <w:rFonts w:hint="eastAsia" w:ascii="Times New Roman" w:hAnsi="Times New Roman" w:eastAsia="方正仿宋_GB2312" w:cs="Times New Roman"/>
                <w:color w:val="auto"/>
                <w:sz w:val="24"/>
                <w:szCs w:val="24"/>
              </w:rPr>
              <w:t>使用</w:t>
            </w:r>
            <w:r>
              <w:rPr>
                <w:rFonts w:ascii="Times New Roman" w:hAnsi="Times New Roman" w:eastAsia="方正仿宋_GB2312" w:cs="Times New Roman"/>
                <w:color w:val="auto"/>
                <w:sz w:val="24"/>
                <w:szCs w:val="24"/>
              </w:rPr>
              <w:t>电量</w:t>
            </w:r>
          </w:p>
        </w:tc>
      </w:tr>
      <w:tr w14:paraId="792CFBC4">
        <w:tblPrEx>
          <w:tblCellMar>
            <w:top w:w="0" w:type="dxa"/>
            <w:left w:w="10" w:type="dxa"/>
            <w:bottom w:w="0" w:type="dxa"/>
            <w:right w:w="10" w:type="dxa"/>
          </w:tblCellMar>
        </w:tblPrEx>
        <w:trPr>
          <w:trHeight w:val="1386" w:hRule="atLeast"/>
        </w:trPr>
        <w:tc>
          <w:tcPr>
            <w:tcW w:w="1187" w:type="pct"/>
            <w:vMerge w:val="continue"/>
            <w:tcBorders>
              <w:left w:val="single" w:color="auto" w:sz="8" w:space="0"/>
              <w:right w:val="single" w:color="auto" w:sz="8" w:space="0"/>
            </w:tcBorders>
            <w:shd w:val="clear" w:color="000000" w:fill="FFFFFF"/>
            <w:tcMar>
              <w:left w:w="108" w:type="dxa"/>
              <w:right w:w="108" w:type="dxa"/>
            </w:tcMar>
            <w:vAlign w:val="center"/>
          </w:tcPr>
          <w:p w14:paraId="377D1A8E">
            <w:pPr>
              <w:spacing w:line="360" w:lineRule="auto"/>
              <w:jc w:val="center"/>
              <w:rPr>
                <w:rFonts w:ascii="Times New Roman" w:hAnsi="Times New Roman" w:eastAsia="方正仿宋_GB2312" w:cs="Times New Roman"/>
                <w:color w:val="auto"/>
                <w:sz w:val="24"/>
                <w:szCs w:val="24"/>
              </w:rPr>
            </w:pPr>
          </w:p>
        </w:tc>
        <w:tc>
          <w:tcPr>
            <w:tcW w:w="453"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5570844A">
            <w:pPr>
              <w:spacing w:line="360" w:lineRule="auto"/>
              <w:jc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sz w:val="24"/>
                <w:szCs w:val="24"/>
              </w:rPr>
              <w:t>储能</w:t>
            </w:r>
          </w:p>
        </w:tc>
        <w:tc>
          <w:tcPr>
            <w:tcW w:w="799"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588FE864">
            <w:pPr>
              <w:spacing w:line="360" w:lineRule="auto"/>
              <w:jc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sz w:val="24"/>
                <w:szCs w:val="24"/>
              </w:rPr>
              <w:t>XX%（院方分成比例）</w:t>
            </w:r>
          </w:p>
        </w:tc>
        <w:tc>
          <w:tcPr>
            <w:tcW w:w="2561"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23D3388B">
            <w:pPr>
              <w:spacing w:line="360" w:lineRule="auto"/>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sz w:val="24"/>
                <w:szCs w:val="24"/>
              </w:rPr>
              <w:t>本项目以峰谷价差收益按比列进行分成</w:t>
            </w:r>
          </w:p>
        </w:tc>
      </w:tr>
      <w:tr w14:paraId="70853560">
        <w:tblPrEx>
          <w:tblCellMar>
            <w:top w:w="0" w:type="dxa"/>
            <w:left w:w="10" w:type="dxa"/>
            <w:bottom w:w="0" w:type="dxa"/>
            <w:right w:w="10" w:type="dxa"/>
          </w:tblCellMar>
        </w:tblPrEx>
        <w:trPr>
          <w:trHeight w:val="1386" w:hRule="atLeast"/>
        </w:trPr>
        <w:tc>
          <w:tcPr>
            <w:tcW w:w="1187" w:type="pct"/>
            <w:vMerge w:val="continue"/>
            <w:tcBorders>
              <w:left w:val="single" w:color="auto" w:sz="8" w:space="0"/>
              <w:bottom w:val="single" w:color="auto" w:sz="8" w:space="0"/>
              <w:right w:val="single" w:color="auto" w:sz="8" w:space="0"/>
            </w:tcBorders>
            <w:shd w:val="clear" w:color="000000" w:fill="FFFFFF"/>
            <w:tcMar>
              <w:left w:w="108" w:type="dxa"/>
              <w:right w:w="108" w:type="dxa"/>
            </w:tcMar>
            <w:vAlign w:val="center"/>
          </w:tcPr>
          <w:p w14:paraId="6EB0EDA7">
            <w:pPr>
              <w:spacing w:line="360" w:lineRule="auto"/>
              <w:jc w:val="center"/>
              <w:rPr>
                <w:rFonts w:ascii="Times New Roman" w:hAnsi="Times New Roman" w:eastAsia="方正仿宋_GB2312" w:cs="Times New Roman"/>
                <w:color w:val="auto"/>
                <w:sz w:val="24"/>
                <w:szCs w:val="24"/>
              </w:rPr>
            </w:pPr>
          </w:p>
        </w:tc>
        <w:tc>
          <w:tcPr>
            <w:tcW w:w="453"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305BF171">
            <w:pPr>
              <w:spacing w:line="360" w:lineRule="auto"/>
              <w:jc w:val="center"/>
              <w:rPr>
                <w:rFonts w:ascii="Times New Roman" w:hAnsi="Times New Roman" w:eastAsia="方正仿宋_GB2312" w:cs="Times New Roman"/>
                <w:color w:val="auto"/>
                <w:sz w:val="24"/>
                <w:szCs w:val="24"/>
              </w:rPr>
            </w:pPr>
            <w:r>
              <w:rPr>
                <w:rFonts w:hint="eastAsia" w:ascii="Times New Roman" w:hAnsi="Times New Roman" w:eastAsia="方正仿宋_GB2312" w:cs="Times New Roman"/>
                <w:color w:val="auto"/>
                <w:sz w:val="24"/>
                <w:szCs w:val="24"/>
              </w:rPr>
              <w:t>合作期限</w:t>
            </w:r>
          </w:p>
        </w:tc>
        <w:tc>
          <w:tcPr>
            <w:tcW w:w="799"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44173F2A">
            <w:pPr>
              <w:spacing w:line="360" w:lineRule="auto"/>
              <w:jc w:val="center"/>
              <w:rPr>
                <w:rFonts w:ascii="Times New Roman" w:hAnsi="Times New Roman" w:eastAsia="方正仿宋_GB2312" w:cs="Times New Roman"/>
                <w:color w:val="auto"/>
                <w:sz w:val="24"/>
                <w:szCs w:val="24"/>
              </w:rPr>
            </w:pPr>
            <w:r>
              <w:rPr>
                <w:rFonts w:hint="eastAsia" w:ascii="Times New Roman" w:hAnsi="Times New Roman" w:eastAsia="方正仿宋_GB2312" w:cs="Times New Roman"/>
                <w:color w:val="auto"/>
                <w:sz w:val="24"/>
                <w:szCs w:val="24"/>
              </w:rPr>
              <w:t>XX年</w:t>
            </w:r>
          </w:p>
        </w:tc>
        <w:tc>
          <w:tcPr>
            <w:tcW w:w="2561"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051B8CB1">
            <w:pPr>
              <w:spacing w:line="360" w:lineRule="auto"/>
              <w:rPr>
                <w:rFonts w:ascii="Times New Roman" w:hAnsi="Times New Roman" w:eastAsia="方正仿宋_GB2312" w:cs="Times New Roman"/>
                <w:color w:val="auto"/>
                <w:sz w:val="24"/>
                <w:szCs w:val="24"/>
              </w:rPr>
            </w:pPr>
            <w:r>
              <w:rPr>
                <w:rFonts w:hint="eastAsia" w:ascii="Cambria" w:hAnsi="Cambria" w:eastAsia="方正仿宋_GB2312" w:cs="Cambria"/>
                <w:color w:val="auto"/>
                <w:sz w:val="24"/>
                <w:szCs w:val="24"/>
              </w:rPr>
              <w:t>本项目光伏及储能项目的合作期限</w:t>
            </w:r>
          </w:p>
        </w:tc>
      </w:tr>
    </w:tbl>
    <w:p w14:paraId="1BABBFCB">
      <w:pPr>
        <w:numPr>
          <w:ilvl w:val="0"/>
          <w:numId w:val="5"/>
        </w:numPr>
        <w:spacing w:line="360" w:lineRule="auto"/>
        <w:ind w:firstLine="562" w:firstLineChars="200"/>
        <w:rPr>
          <w:rFonts w:ascii="Times New Roman" w:hAnsi="Times New Roman" w:eastAsia="方正仿宋_GB2312" w:cs="Times New Roman"/>
          <w:b/>
          <w:bCs/>
          <w:color w:val="auto"/>
          <w:sz w:val="28"/>
          <w:szCs w:val="28"/>
        </w:rPr>
      </w:pPr>
      <w:r>
        <w:rPr>
          <w:rFonts w:ascii="Times New Roman" w:hAnsi="Times New Roman" w:eastAsia="方正仿宋_GB2312" w:cs="Times New Roman"/>
          <w:b/>
          <w:bCs/>
          <w:color w:val="auto"/>
          <w:sz w:val="28"/>
          <w:szCs w:val="28"/>
        </w:rPr>
        <w:t>评审办法（综合评分明细表）</w:t>
      </w:r>
    </w:p>
    <w:tbl>
      <w:tblPr>
        <w:tblStyle w:val="4"/>
        <w:tblW w:w="5504" w:type="pct"/>
        <w:tblInd w:w="-349" w:type="dxa"/>
        <w:tblLayout w:type="fixed"/>
        <w:tblCellMar>
          <w:top w:w="0" w:type="dxa"/>
          <w:left w:w="108" w:type="dxa"/>
          <w:bottom w:w="0" w:type="dxa"/>
          <w:right w:w="108" w:type="dxa"/>
        </w:tblCellMar>
      </w:tblPr>
      <w:tblGrid>
        <w:gridCol w:w="599"/>
        <w:gridCol w:w="740"/>
        <w:gridCol w:w="762"/>
        <w:gridCol w:w="876"/>
        <w:gridCol w:w="5101"/>
        <w:gridCol w:w="1303"/>
      </w:tblGrid>
      <w:tr w14:paraId="138AD2AB">
        <w:tblPrEx>
          <w:tblCellMar>
            <w:top w:w="0" w:type="dxa"/>
            <w:left w:w="108" w:type="dxa"/>
            <w:bottom w:w="0" w:type="dxa"/>
            <w:right w:w="108" w:type="dxa"/>
          </w:tblCellMar>
        </w:tblPrEx>
        <w:trPr>
          <w:trHeight w:val="315" w:hRule="atLeast"/>
        </w:trPr>
        <w:tc>
          <w:tcPr>
            <w:tcW w:w="320" w:type="pct"/>
            <w:tcBorders>
              <w:top w:val="single" w:color="000000" w:sz="4" w:space="0"/>
              <w:left w:val="single" w:color="000000" w:sz="4" w:space="0"/>
              <w:bottom w:val="single" w:color="000000" w:sz="4" w:space="0"/>
              <w:right w:val="single" w:color="000000" w:sz="4" w:space="0"/>
            </w:tcBorders>
            <w:vAlign w:val="center"/>
          </w:tcPr>
          <w:p w14:paraId="77DDF663">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序号</w:t>
            </w:r>
          </w:p>
        </w:tc>
        <w:tc>
          <w:tcPr>
            <w:tcW w:w="394" w:type="pct"/>
            <w:tcBorders>
              <w:top w:val="single" w:color="000000" w:sz="4" w:space="0"/>
              <w:left w:val="single" w:color="000000" w:sz="4" w:space="0"/>
              <w:bottom w:val="single" w:color="000000" w:sz="4" w:space="0"/>
              <w:right w:val="single" w:color="000000" w:sz="4" w:space="0"/>
            </w:tcBorders>
            <w:vAlign w:val="center"/>
          </w:tcPr>
          <w:p w14:paraId="19421EAA">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分项</w:t>
            </w:r>
          </w:p>
        </w:tc>
        <w:tc>
          <w:tcPr>
            <w:tcW w:w="406" w:type="pct"/>
            <w:tcBorders>
              <w:top w:val="single" w:color="000000" w:sz="4" w:space="0"/>
              <w:left w:val="single" w:color="000000" w:sz="4" w:space="0"/>
              <w:bottom w:val="single" w:color="000000" w:sz="4" w:space="0"/>
              <w:right w:val="single" w:color="000000" w:sz="4" w:space="0"/>
            </w:tcBorders>
            <w:vAlign w:val="center"/>
          </w:tcPr>
          <w:p w14:paraId="189F2C6A">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项   目</w:t>
            </w:r>
          </w:p>
        </w:tc>
        <w:tc>
          <w:tcPr>
            <w:tcW w:w="467" w:type="pct"/>
            <w:tcBorders>
              <w:top w:val="single" w:color="000000" w:sz="4" w:space="0"/>
              <w:left w:val="single" w:color="000000" w:sz="4" w:space="0"/>
              <w:bottom w:val="single" w:color="000000" w:sz="4" w:space="0"/>
              <w:right w:val="single" w:color="000000" w:sz="4" w:space="0"/>
            </w:tcBorders>
            <w:vAlign w:val="center"/>
          </w:tcPr>
          <w:p w14:paraId="2D778B04">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标准分</w:t>
            </w:r>
          </w:p>
        </w:tc>
        <w:tc>
          <w:tcPr>
            <w:tcW w:w="2719" w:type="pct"/>
            <w:tcBorders>
              <w:top w:val="single" w:color="000000" w:sz="4" w:space="0"/>
              <w:left w:val="single" w:color="000000" w:sz="4" w:space="0"/>
              <w:bottom w:val="single" w:color="000000" w:sz="4" w:space="0"/>
              <w:right w:val="single" w:color="000000" w:sz="4" w:space="0"/>
            </w:tcBorders>
            <w:vAlign w:val="center"/>
          </w:tcPr>
          <w:p w14:paraId="5E1CEE3F">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评  分  标  准</w:t>
            </w:r>
          </w:p>
        </w:tc>
        <w:tc>
          <w:tcPr>
            <w:tcW w:w="694" w:type="pct"/>
            <w:tcBorders>
              <w:top w:val="single" w:color="000000" w:sz="4" w:space="0"/>
              <w:left w:val="single" w:color="000000" w:sz="4" w:space="0"/>
              <w:bottom w:val="single" w:color="000000" w:sz="4" w:space="0"/>
              <w:right w:val="single" w:color="000000" w:sz="4" w:space="0"/>
            </w:tcBorders>
            <w:vAlign w:val="center"/>
          </w:tcPr>
          <w:p w14:paraId="16ECBFE8">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备注</w:t>
            </w:r>
          </w:p>
        </w:tc>
      </w:tr>
      <w:tr w14:paraId="163909A1">
        <w:tblPrEx>
          <w:tblCellMar>
            <w:top w:w="0" w:type="dxa"/>
            <w:left w:w="108" w:type="dxa"/>
            <w:bottom w:w="0" w:type="dxa"/>
            <w:right w:w="108" w:type="dxa"/>
          </w:tblCellMar>
        </w:tblPrEx>
        <w:trPr>
          <w:trHeight w:val="2780" w:hRule="atLeast"/>
        </w:trPr>
        <w:tc>
          <w:tcPr>
            <w:tcW w:w="320" w:type="pct"/>
            <w:tcBorders>
              <w:top w:val="single" w:color="000000" w:sz="4" w:space="0"/>
              <w:left w:val="single" w:color="000000" w:sz="4" w:space="0"/>
              <w:bottom w:val="single" w:color="000000" w:sz="4" w:space="0"/>
              <w:right w:val="single" w:color="000000" w:sz="4" w:space="0"/>
            </w:tcBorders>
            <w:vAlign w:val="center"/>
          </w:tcPr>
          <w:p w14:paraId="4FC0A41D">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1</w:t>
            </w:r>
          </w:p>
        </w:tc>
        <w:tc>
          <w:tcPr>
            <w:tcW w:w="394" w:type="pct"/>
            <w:tcBorders>
              <w:top w:val="single" w:color="000000" w:sz="4" w:space="0"/>
              <w:left w:val="single" w:color="000000" w:sz="4" w:space="0"/>
              <w:bottom w:val="single" w:color="000000" w:sz="4" w:space="0"/>
              <w:right w:val="single" w:color="000000" w:sz="4" w:space="0"/>
            </w:tcBorders>
            <w:vAlign w:val="center"/>
          </w:tcPr>
          <w:p w14:paraId="2C64DD01">
            <w:pPr>
              <w:jc w:val="center"/>
              <w:rPr>
                <w:rFonts w:ascii="Times New Roman" w:hAnsi="Times New Roman" w:eastAsia="方正仿宋_GB2312" w:cs="Times New Roman"/>
                <w:color w:val="auto"/>
                <w:sz w:val="24"/>
                <w:szCs w:val="24"/>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347F3B7E">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光伏发电报价</w:t>
            </w:r>
          </w:p>
        </w:tc>
        <w:tc>
          <w:tcPr>
            <w:tcW w:w="467" w:type="pct"/>
            <w:tcBorders>
              <w:top w:val="single" w:color="000000" w:sz="4" w:space="0"/>
              <w:left w:val="single" w:color="000000" w:sz="4" w:space="0"/>
              <w:bottom w:val="single" w:color="000000" w:sz="4" w:space="0"/>
              <w:right w:val="single" w:color="000000" w:sz="4" w:space="0"/>
            </w:tcBorders>
            <w:vAlign w:val="center"/>
          </w:tcPr>
          <w:p w14:paraId="101A193B">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10</w:t>
            </w:r>
          </w:p>
        </w:tc>
        <w:tc>
          <w:tcPr>
            <w:tcW w:w="2719" w:type="pct"/>
            <w:tcBorders>
              <w:top w:val="single" w:color="000000" w:sz="4" w:space="0"/>
              <w:left w:val="single" w:color="000000" w:sz="4" w:space="0"/>
              <w:bottom w:val="single" w:color="000000" w:sz="4" w:space="0"/>
              <w:right w:val="single" w:color="000000" w:sz="4" w:space="0"/>
            </w:tcBorders>
            <w:vAlign w:val="center"/>
          </w:tcPr>
          <w:p w14:paraId="5446B8B6">
            <w:pPr>
              <w:widowControl/>
              <w:jc w:val="left"/>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（1）以光伏固定电价为评分标准。</w:t>
            </w:r>
            <w:r>
              <w:rPr>
                <w:rFonts w:ascii="Times New Roman" w:hAnsi="Times New Roman" w:eastAsia="方正仿宋_GB2312" w:cs="Times New Roman"/>
                <w:color w:val="auto"/>
                <w:kern w:val="0"/>
                <w:sz w:val="24"/>
                <w:szCs w:val="24"/>
                <w:lang w:bidi="ar"/>
                <w14:ligatures w14:val="standardContextual"/>
              </w:rPr>
              <w:br w:type="textWrapping"/>
            </w:r>
            <w:r>
              <w:rPr>
                <w:rFonts w:ascii="Times New Roman" w:hAnsi="Times New Roman" w:eastAsia="方正仿宋_GB2312" w:cs="Times New Roman"/>
                <w:color w:val="auto"/>
                <w:kern w:val="0"/>
                <w:sz w:val="24"/>
                <w:szCs w:val="24"/>
                <w:lang w:bidi="ar"/>
                <w14:ligatures w14:val="standardContextual"/>
              </w:rPr>
              <w:t>（2）小于5家参选合作单位时，去掉个1最高和0个最低价格后计算平均价作为基准价Yb，大于等于5家参选合作单位时去掉1个最高和1个最低价格后计算平均价作为基准价Yb，其价格为满分。</w:t>
            </w:r>
            <w:r>
              <w:rPr>
                <w:rFonts w:ascii="Times New Roman" w:hAnsi="Times New Roman" w:eastAsia="方正仿宋_GB2312" w:cs="Times New Roman"/>
                <w:color w:val="auto"/>
                <w:kern w:val="0"/>
                <w:sz w:val="24"/>
                <w:szCs w:val="24"/>
                <w:lang w:bidi="ar"/>
                <w14:ligatures w14:val="standardContextual"/>
              </w:rPr>
              <w:br w:type="textWrapping"/>
            </w:r>
            <w:r>
              <w:rPr>
                <w:rFonts w:ascii="Times New Roman" w:hAnsi="Times New Roman" w:eastAsia="方正仿宋_GB2312" w:cs="Times New Roman"/>
                <w:color w:val="auto"/>
                <w:kern w:val="0"/>
                <w:sz w:val="24"/>
                <w:szCs w:val="24"/>
                <w:lang w:bidi="ar"/>
                <w14:ligatures w14:val="standardContextual"/>
              </w:rPr>
              <w:t>（3）当报价Yi=Yb者，得满分10分；</w:t>
            </w:r>
            <w:r>
              <w:rPr>
                <w:rFonts w:ascii="Times New Roman" w:hAnsi="Times New Roman" w:eastAsia="方正仿宋_GB2312" w:cs="Times New Roman"/>
                <w:color w:val="auto"/>
                <w:kern w:val="0"/>
                <w:sz w:val="24"/>
                <w:szCs w:val="24"/>
                <w:lang w:bidi="ar"/>
                <w14:ligatures w14:val="standardContextual"/>
              </w:rPr>
              <w:br w:type="textWrapping"/>
            </w:r>
            <w:r>
              <w:rPr>
                <w:rFonts w:ascii="Times New Roman" w:hAnsi="Times New Roman" w:eastAsia="方正仿宋_GB2312" w:cs="Times New Roman"/>
                <w:color w:val="auto"/>
                <w:kern w:val="0"/>
                <w:sz w:val="24"/>
                <w:szCs w:val="24"/>
                <w:lang w:bidi="ar"/>
                <w14:ligatures w14:val="standardContextual"/>
              </w:rPr>
              <w:t xml:space="preserve">     当报价Yi&gt;Yb者，得分J=10-(Yi-Yb)/Yb*10*70%</w:t>
            </w:r>
            <w:r>
              <w:rPr>
                <w:rFonts w:ascii="Times New Roman" w:hAnsi="Times New Roman" w:eastAsia="方正仿宋_GB2312" w:cs="Times New Roman"/>
                <w:color w:val="auto"/>
                <w:kern w:val="0"/>
                <w:sz w:val="24"/>
                <w:szCs w:val="24"/>
                <w:lang w:bidi="ar"/>
                <w14:ligatures w14:val="standardContextual"/>
              </w:rPr>
              <w:br w:type="textWrapping"/>
            </w:r>
            <w:r>
              <w:rPr>
                <w:rFonts w:ascii="Times New Roman" w:hAnsi="Times New Roman" w:eastAsia="方正仿宋_GB2312" w:cs="Times New Roman"/>
                <w:color w:val="auto"/>
                <w:kern w:val="0"/>
                <w:sz w:val="24"/>
                <w:szCs w:val="24"/>
                <w:lang w:bidi="ar"/>
                <w14:ligatures w14:val="standardContextual"/>
              </w:rPr>
              <w:t xml:space="preserve">     当报价Yi&lt;Yb者，得分J=10-(Yb-Yi)/Yb*10*30%</w:t>
            </w:r>
          </w:p>
        </w:tc>
        <w:tc>
          <w:tcPr>
            <w:tcW w:w="694" w:type="pct"/>
            <w:tcBorders>
              <w:top w:val="single" w:color="000000" w:sz="4" w:space="0"/>
              <w:left w:val="single" w:color="000000" w:sz="4" w:space="0"/>
              <w:bottom w:val="single" w:color="000000" w:sz="4" w:space="0"/>
              <w:right w:val="single" w:color="000000" w:sz="4" w:space="0"/>
            </w:tcBorders>
            <w:vAlign w:val="center"/>
          </w:tcPr>
          <w:p w14:paraId="3828F483">
            <w:pPr>
              <w:widowControl/>
              <w:jc w:val="center"/>
              <w:textAlignment w:val="center"/>
              <w:rPr>
                <w:rFonts w:ascii="Times New Roman" w:hAnsi="Times New Roman" w:eastAsia="方正仿宋_GB2312" w:cs="Times New Roman"/>
                <w:color w:val="auto"/>
                <w:sz w:val="24"/>
                <w:szCs w:val="24"/>
              </w:rPr>
            </w:pPr>
          </w:p>
        </w:tc>
      </w:tr>
      <w:tr w14:paraId="4F8122CE">
        <w:tblPrEx>
          <w:tblCellMar>
            <w:top w:w="0" w:type="dxa"/>
            <w:left w:w="108" w:type="dxa"/>
            <w:bottom w:w="0" w:type="dxa"/>
            <w:right w:w="108" w:type="dxa"/>
          </w:tblCellMar>
        </w:tblPrEx>
        <w:trPr>
          <w:trHeight w:val="2780" w:hRule="atLeast"/>
        </w:trPr>
        <w:tc>
          <w:tcPr>
            <w:tcW w:w="320" w:type="pct"/>
            <w:tcBorders>
              <w:top w:val="single" w:color="000000" w:sz="4" w:space="0"/>
              <w:left w:val="single" w:color="000000" w:sz="4" w:space="0"/>
              <w:bottom w:val="single" w:color="000000" w:sz="4" w:space="0"/>
              <w:right w:val="single" w:color="000000" w:sz="4" w:space="0"/>
            </w:tcBorders>
            <w:vAlign w:val="center"/>
          </w:tcPr>
          <w:p w14:paraId="25331645">
            <w:pPr>
              <w:widowControl/>
              <w:jc w:val="center"/>
              <w:textAlignment w:val="center"/>
              <w:rPr>
                <w:rFonts w:ascii="Times New Roman" w:hAnsi="Times New Roman" w:eastAsia="方正仿宋_GB2312" w:cs="Times New Roman"/>
                <w:color w:val="auto"/>
                <w:kern w:val="0"/>
                <w:sz w:val="24"/>
                <w:szCs w:val="24"/>
                <w:lang w:bidi="ar"/>
                <w14:ligatures w14:val="standardContextual"/>
              </w:rPr>
            </w:pPr>
            <w:r>
              <w:rPr>
                <w:rFonts w:ascii="Times New Roman" w:hAnsi="Times New Roman" w:eastAsia="方正仿宋_GB2312" w:cs="Times New Roman"/>
                <w:color w:val="auto"/>
                <w:kern w:val="0"/>
                <w:sz w:val="24"/>
                <w:szCs w:val="24"/>
                <w:lang w:bidi="ar"/>
                <w14:ligatures w14:val="standardContextual"/>
              </w:rPr>
              <w:t>2</w:t>
            </w:r>
          </w:p>
        </w:tc>
        <w:tc>
          <w:tcPr>
            <w:tcW w:w="394" w:type="pct"/>
            <w:tcBorders>
              <w:top w:val="single" w:color="000000" w:sz="4" w:space="0"/>
              <w:left w:val="single" w:color="000000" w:sz="4" w:space="0"/>
              <w:bottom w:val="single" w:color="000000" w:sz="4" w:space="0"/>
              <w:right w:val="single" w:color="000000" w:sz="4" w:space="0"/>
            </w:tcBorders>
            <w:vAlign w:val="center"/>
          </w:tcPr>
          <w:p w14:paraId="33EA120F">
            <w:pPr>
              <w:jc w:val="center"/>
              <w:rPr>
                <w:rFonts w:ascii="Times New Roman" w:hAnsi="Times New Roman" w:eastAsia="方正仿宋_GB2312" w:cs="Times New Roman"/>
                <w:color w:val="auto"/>
                <w:sz w:val="24"/>
                <w:szCs w:val="24"/>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35C39DBF">
            <w:pPr>
              <w:widowControl/>
              <w:jc w:val="center"/>
              <w:textAlignment w:val="center"/>
              <w:rPr>
                <w:rFonts w:ascii="Times New Roman" w:hAnsi="Times New Roman" w:eastAsia="方正仿宋_GB2312" w:cs="Times New Roman"/>
                <w:color w:val="auto"/>
                <w:kern w:val="0"/>
                <w:sz w:val="24"/>
                <w:szCs w:val="24"/>
                <w:lang w:bidi="ar"/>
                <w14:ligatures w14:val="standardContextual"/>
              </w:rPr>
            </w:pPr>
            <w:r>
              <w:rPr>
                <w:rFonts w:ascii="Times New Roman" w:hAnsi="Times New Roman" w:eastAsia="方正仿宋_GB2312" w:cs="Times New Roman"/>
                <w:color w:val="auto"/>
                <w:kern w:val="0"/>
                <w:sz w:val="24"/>
                <w:szCs w:val="24"/>
                <w:lang w:bidi="ar"/>
                <w14:ligatures w14:val="standardContextual"/>
              </w:rPr>
              <w:t>储能系统分成</w:t>
            </w:r>
          </w:p>
        </w:tc>
        <w:tc>
          <w:tcPr>
            <w:tcW w:w="467" w:type="pct"/>
            <w:tcBorders>
              <w:top w:val="single" w:color="000000" w:sz="4" w:space="0"/>
              <w:left w:val="single" w:color="000000" w:sz="4" w:space="0"/>
              <w:bottom w:val="single" w:color="000000" w:sz="4" w:space="0"/>
              <w:right w:val="single" w:color="000000" w:sz="4" w:space="0"/>
            </w:tcBorders>
            <w:vAlign w:val="center"/>
          </w:tcPr>
          <w:p w14:paraId="2C876920">
            <w:pPr>
              <w:widowControl/>
              <w:jc w:val="center"/>
              <w:textAlignment w:val="center"/>
              <w:rPr>
                <w:rFonts w:ascii="Times New Roman" w:hAnsi="Times New Roman" w:eastAsia="方正仿宋_GB2312" w:cs="Times New Roman"/>
                <w:color w:val="auto"/>
                <w:kern w:val="0"/>
                <w:sz w:val="24"/>
                <w:szCs w:val="24"/>
                <w:lang w:bidi="ar"/>
                <w14:ligatures w14:val="standardContextual"/>
              </w:rPr>
            </w:pPr>
            <w:r>
              <w:rPr>
                <w:rFonts w:ascii="Times New Roman" w:hAnsi="Times New Roman" w:eastAsia="方正仿宋_GB2312" w:cs="Times New Roman"/>
                <w:color w:val="auto"/>
                <w:kern w:val="0"/>
                <w:sz w:val="24"/>
                <w:szCs w:val="24"/>
                <w:lang w:bidi="ar"/>
                <w14:ligatures w14:val="standardContextual"/>
              </w:rPr>
              <w:t>10</w:t>
            </w:r>
          </w:p>
        </w:tc>
        <w:tc>
          <w:tcPr>
            <w:tcW w:w="2719" w:type="pct"/>
            <w:tcBorders>
              <w:top w:val="single" w:color="000000" w:sz="4" w:space="0"/>
              <w:left w:val="single" w:color="000000" w:sz="4" w:space="0"/>
              <w:bottom w:val="single" w:color="000000" w:sz="4" w:space="0"/>
              <w:right w:val="single" w:color="000000" w:sz="4" w:space="0"/>
            </w:tcBorders>
            <w:vAlign w:val="center"/>
          </w:tcPr>
          <w:p w14:paraId="61D8C811">
            <w:pPr>
              <w:widowControl/>
              <w:jc w:val="left"/>
              <w:textAlignment w:val="center"/>
              <w:rPr>
                <w:rFonts w:ascii="Times New Roman" w:hAnsi="Times New Roman" w:eastAsia="方正仿宋_GB2312" w:cs="Times New Roman"/>
                <w:color w:val="auto"/>
                <w:kern w:val="0"/>
                <w:sz w:val="24"/>
                <w:szCs w:val="24"/>
                <w:lang w:bidi="ar"/>
                <w14:ligatures w14:val="standardContextual"/>
              </w:rPr>
            </w:pPr>
            <w:r>
              <w:rPr>
                <w:rFonts w:ascii="Times New Roman" w:hAnsi="Times New Roman" w:eastAsia="方正仿宋_GB2312" w:cs="Times New Roman"/>
                <w:color w:val="auto"/>
                <w:kern w:val="0"/>
                <w:sz w:val="24"/>
                <w:szCs w:val="24"/>
                <w:lang w:bidi="ar"/>
                <w14:ligatures w14:val="standardContextual"/>
              </w:rPr>
              <w:t>（1）以储能系统院方收益分成比例为评分标准。</w:t>
            </w:r>
            <w:r>
              <w:rPr>
                <w:rFonts w:ascii="Times New Roman" w:hAnsi="Times New Roman" w:eastAsia="方正仿宋_GB2312" w:cs="Times New Roman"/>
                <w:color w:val="auto"/>
                <w:kern w:val="0"/>
                <w:sz w:val="24"/>
                <w:szCs w:val="24"/>
                <w:lang w:bidi="ar"/>
                <w14:ligatures w14:val="standardContextual"/>
              </w:rPr>
              <w:br w:type="textWrapping"/>
            </w:r>
            <w:r>
              <w:rPr>
                <w:rFonts w:ascii="Times New Roman" w:hAnsi="Times New Roman" w:eastAsia="方正仿宋_GB2312" w:cs="Times New Roman"/>
                <w:color w:val="auto"/>
                <w:kern w:val="0"/>
                <w:sz w:val="24"/>
                <w:szCs w:val="24"/>
                <w:lang w:bidi="ar"/>
                <w14:ligatures w14:val="standardContextual"/>
              </w:rPr>
              <w:t>（2）小于5家参选合作单位时，去掉个1最高和0个最低比例后计算平均比例作为基准比例Yb，大于等于5家参选合作单位时去掉1个最高和1个最低比例后计算平均比例作为基准比例Yb，其比例为满分。</w:t>
            </w:r>
            <w:r>
              <w:rPr>
                <w:rFonts w:ascii="Times New Roman" w:hAnsi="Times New Roman" w:eastAsia="方正仿宋_GB2312" w:cs="Times New Roman"/>
                <w:color w:val="auto"/>
                <w:kern w:val="0"/>
                <w:sz w:val="24"/>
                <w:szCs w:val="24"/>
                <w:lang w:bidi="ar"/>
                <w14:ligatures w14:val="standardContextual"/>
              </w:rPr>
              <w:br w:type="textWrapping"/>
            </w:r>
            <w:r>
              <w:rPr>
                <w:rFonts w:ascii="Times New Roman" w:hAnsi="Times New Roman" w:eastAsia="方正仿宋_GB2312" w:cs="Times New Roman"/>
                <w:color w:val="auto"/>
                <w:kern w:val="0"/>
                <w:sz w:val="24"/>
                <w:szCs w:val="24"/>
                <w:lang w:bidi="ar"/>
                <w14:ligatures w14:val="standardContextual"/>
              </w:rPr>
              <w:t>（3）当院方分成比例Yi=Yb者，得满分10分；</w:t>
            </w:r>
            <w:r>
              <w:rPr>
                <w:rFonts w:ascii="Times New Roman" w:hAnsi="Times New Roman" w:eastAsia="方正仿宋_GB2312" w:cs="Times New Roman"/>
                <w:color w:val="auto"/>
                <w:kern w:val="0"/>
                <w:sz w:val="24"/>
                <w:szCs w:val="24"/>
                <w:lang w:bidi="ar"/>
                <w14:ligatures w14:val="standardContextual"/>
              </w:rPr>
              <w:br w:type="textWrapping"/>
            </w:r>
            <w:r>
              <w:rPr>
                <w:rFonts w:ascii="Times New Roman" w:hAnsi="Times New Roman" w:eastAsia="方正仿宋_GB2312" w:cs="Times New Roman"/>
                <w:color w:val="auto"/>
                <w:kern w:val="0"/>
                <w:sz w:val="24"/>
                <w:szCs w:val="24"/>
                <w:lang w:bidi="ar"/>
                <w14:ligatures w14:val="standardContextual"/>
              </w:rPr>
              <w:t xml:space="preserve">     当院方分成比例Yi&gt;Yb者，得分J=10-(Yi-Yb)/Yb*10*70%</w:t>
            </w:r>
            <w:r>
              <w:rPr>
                <w:rFonts w:ascii="Times New Roman" w:hAnsi="Times New Roman" w:eastAsia="方正仿宋_GB2312" w:cs="Times New Roman"/>
                <w:color w:val="auto"/>
                <w:kern w:val="0"/>
                <w:sz w:val="24"/>
                <w:szCs w:val="24"/>
                <w:lang w:bidi="ar"/>
                <w14:ligatures w14:val="standardContextual"/>
              </w:rPr>
              <w:br w:type="textWrapping"/>
            </w:r>
            <w:r>
              <w:rPr>
                <w:rFonts w:ascii="Times New Roman" w:hAnsi="Times New Roman" w:eastAsia="方正仿宋_GB2312" w:cs="Times New Roman"/>
                <w:color w:val="auto"/>
                <w:kern w:val="0"/>
                <w:sz w:val="24"/>
                <w:szCs w:val="24"/>
                <w:lang w:bidi="ar"/>
                <w14:ligatures w14:val="standardContextual"/>
              </w:rPr>
              <w:t xml:space="preserve">     当院方分成比例Yi&lt;Yb者，得分J=10-(Yb-Yi)/Yb*10*30%</w:t>
            </w:r>
          </w:p>
        </w:tc>
        <w:tc>
          <w:tcPr>
            <w:tcW w:w="694" w:type="pct"/>
            <w:tcBorders>
              <w:top w:val="single" w:color="000000" w:sz="4" w:space="0"/>
              <w:left w:val="single" w:color="000000" w:sz="4" w:space="0"/>
              <w:bottom w:val="single" w:color="000000" w:sz="4" w:space="0"/>
              <w:right w:val="single" w:color="000000" w:sz="4" w:space="0"/>
            </w:tcBorders>
            <w:vAlign w:val="center"/>
          </w:tcPr>
          <w:p w14:paraId="54800D0A">
            <w:pPr>
              <w:widowControl/>
              <w:jc w:val="center"/>
              <w:textAlignment w:val="center"/>
              <w:rPr>
                <w:rFonts w:ascii="Times New Roman" w:hAnsi="Times New Roman" w:eastAsia="方正仿宋_GB2312" w:cs="Times New Roman"/>
                <w:color w:val="auto"/>
                <w:sz w:val="24"/>
                <w:szCs w:val="24"/>
              </w:rPr>
            </w:pPr>
          </w:p>
        </w:tc>
      </w:tr>
      <w:tr w14:paraId="4D2878F8">
        <w:tblPrEx>
          <w:tblCellMar>
            <w:top w:w="0" w:type="dxa"/>
            <w:left w:w="108" w:type="dxa"/>
            <w:bottom w:w="0" w:type="dxa"/>
            <w:right w:w="108" w:type="dxa"/>
          </w:tblCellMar>
        </w:tblPrEx>
        <w:trPr>
          <w:trHeight w:val="1869" w:hRule="atLeast"/>
        </w:trPr>
        <w:tc>
          <w:tcPr>
            <w:tcW w:w="320" w:type="pct"/>
            <w:tcBorders>
              <w:top w:val="single" w:color="000000" w:sz="4" w:space="0"/>
              <w:left w:val="single" w:color="000000" w:sz="4" w:space="0"/>
              <w:bottom w:val="single" w:color="000000" w:sz="4" w:space="0"/>
              <w:right w:val="single" w:color="000000" w:sz="4" w:space="0"/>
            </w:tcBorders>
            <w:vAlign w:val="center"/>
          </w:tcPr>
          <w:p w14:paraId="28212170">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3</w:t>
            </w:r>
          </w:p>
        </w:tc>
        <w:tc>
          <w:tcPr>
            <w:tcW w:w="394" w:type="pct"/>
            <w:vMerge w:val="restart"/>
            <w:tcBorders>
              <w:top w:val="single" w:color="000000" w:sz="4" w:space="0"/>
              <w:left w:val="single" w:color="000000" w:sz="4" w:space="0"/>
              <w:bottom w:val="single" w:color="000000" w:sz="4" w:space="0"/>
              <w:right w:val="single" w:color="000000" w:sz="4" w:space="0"/>
            </w:tcBorders>
            <w:vAlign w:val="center"/>
          </w:tcPr>
          <w:p w14:paraId="1A0C8F0C">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技术部分</w:t>
            </w:r>
          </w:p>
        </w:tc>
        <w:tc>
          <w:tcPr>
            <w:tcW w:w="406" w:type="pct"/>
            <w:tcBorders>
              <w:top w:val="single" w:color="000000" w:sz="4" w:space="0"/>
              <w:left w:val="single" w:color="000000" w:sz="4" w:space="0"/>
              <w:bottom w:val="single" w:color="000000" w:sz="4" w:space="0"/>
              <w:right w:val="single" w:color="000000" w:sz="4" w:space="0"/>
            </w:tcBorders>
            <w:vAlign w:val="center"/>
          </w:tcPr>
          <w:p w14:paraId="6ED86C2A">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总体设计与实施方案</w:t>
            </w:r>
          </w:p>
        </w:tc>
        <w:tc>
          <w:tcPr>
            <w:tcW w:w="467" w:type="pct"/>
            <w:tcBorders>
              <w:top w:val="single" w:color="000000" w:sz="4" w:space="0"/>
              <w:left w:val="single" w:color="000000" w:sz="4" w:space="0"/>
              <w:bottom w:val="single" w:color="000000" w:sz="4" w:space="0"/>
              <w:right w:val="single" w:color="000000" w:sz="4" w:space="0"/>
            </w:tcBorders>
            <w:vAlign w:val="center"/>
          </w:tcPr>
          <w:p w14:paraId="7FBA78EC">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30</w:t>
            </w:r>
          </w:p>
        </w:tc>
        <w:tc>
          <w:tcPr>
            <w:tcW w:w="2719" w:type="pct"/>
            <w:tcBorders>
              <w:top w:val="single" w:color="000000" w:sz="4" w:space="0"/>
              <w:left w:val="single" w:color="000000" w:sz="4" w:space="0"/>
              <w:bottom w:val="single" w:color="000000" w:sz="4" w:space="0"/>
              <w:right w:val="single" w:color="000000" w:sz="4" w:space="0"/>
            </w:tcBorders>
            <w:vAlign w:val="center"/>
          </w:tcPr>
          <w:p w14:paraId="2FBDE4B4">
            <w:pPr>
              <w:widowControl/>
              <w:numPr>
                <w:ilvl w:val="0"/>
                <w:numId w:val="6"/>
              </w:numPr>
              <w:jc w:val="left"/>
              <w:textAlignment w:val="center"/>
              <w:rPr>
                <w:rFonts w:ascii="Times New Roman" w:hAnsi="Times New Roman" w:eastAsia="方正仿宋_GB2312" w:cs="Times New Roman"/>
                <w:color w:val="auto"/>
                <w:kern w:val="0"/>
                <w:sz w:val="24"/>
                <w:szCs w:val="24"/>
                <w:lang w:bidi="ar"/>
                <w14:ligatures w14:val="standardContextual"/>
              </w:rPr>
            </w:pPr>
            <w:r>
              <w:rPr>
                <w:rFonts w:ascii="Times New Roman" w:hAnsi="Times New Roman" w:eastAsia="方正仿宋_GB2312" w:cs="Times New Roman"/>
                <w:color w:val="auto"/>
                <w:kern w:val="0"/>
                <w:sz w:val="24"/>
                <w:szCs w:val="24"/>
                <w:lang w:bidi="ar"/>
                <w14:ligatures w14:val="standardContextual"/>
              </w:rPr>
              <w:t>设计容量（5分）：光伏电站设计容量等于1600KWp，储能系统设计容量等于8MWh时，得3分；光伏电站设计容量每增加100KWp应加0.5分，但加分上限不得超过1分；储能系统设计容量每增加1MWh时应加0.5分，但加分上限不得超过1分，容量总分不得超过5分。</w:t>
            </w:r>
          </w:p>
          <w:p w14:paraId="22FBA7AE">
            <w:pPr>
              <w:widowControl/>
              <w:numPr>
                <w:ilvl w:val="255"/>
                <w:numId w:val="0"/>
              </w:numPr>
              <w:jc w:val="left"/>
              <w:textAlignment w:val="center"/>
              <w:rPr>
                <w:rFonts w:ascii="Times New Roman" w:hAnsi="Times New Roman" w:eastAsia="方正仿宋_GB2312" w:cs="Times New Roman"/>
                <w:color w:val="auto"/>
                <w:kern w:val="0"/>
                <w:sz w:val="24"/>
                <w:szCs w:val="24"/>
                <w:lang w:bidi="ar"/>
                <w14:ligatures w14:val="standardContextual"/>
              </w:rPr>
            </w:pPr>
            <w:r>
              <w:rPr>
                <w:rFonts w:ascii="Times New Roman" w:hAnsi="Times New Roman" w:eastAsia="方正仿宋_GB2312" w:cs="Times New Roman"/>
                <w:color w:val="auto"/>
                <w:kern w:val="0"/>
                <w:sz w:val="24"/>
                <w:szCs w:val="24"/>
                <w:lang w:bidi="ar"/>
                <w14:ligatures w14:val="standardContextual"/>
              </w:rPr>
              <w:t>光伏电站设计容量低于1600KWp时，每减少100KWp应扣减0.5分；储能系统设计容量低于8MWh时，每减少1MWh时应扣减0.5分；扣减分不设下限，从方案总分中予以扣除。</w:t>
            </w:r>
          </w:p>
          <w:p w14:paraId="2B5C9355">
            <w:pPr>
              <w:widowControl/>
              <w:jc w:val="left"/>
              <w:textAlignment w:val="center"/>
              <w:rPr>
                <w:rFonts w:ascii="Times New Roman" w:hAnsi="Times New Roman" w:eastAsia="方正仿宋_GB2312" w:cs="Times New Roman"/>
                <w:color w:val="auto"/>
                <w:kern w:val="0"/>
                <w:sz w:val="24"/>
                <w:szCs w:val="24"/>
                <w:lang w:bidi="ar"/>
                <w14:ligatures w14:val="standardContextual"/>
              </w:rPr>
            </w:pPr>
            <w:r>
              <w:rPr>
                <w:rFonts w:ascii="Times New Roman" w:hAnsi="Times New Roman" w:eastAsia="方正仿宋_GB2312" w:cs="Times New Roman"/>
                <w:color w:val="auto"/>
                <w:kern w:val="0"/>
                <w:sz w:val="24"/>
                <w:szCs w:val="24"/>
                <w:lang w:bidi="ar"/>
                <w14:ligatures w14:val="standardContextual"/>
              </w:rPr>
              <w:t>2.结合院区屋面及总平面特点编制总体设计与实施方案（25份），包括：</w:t>
            </w:r>
            <w:r>
              <w:rPr>
                <w:rFonts w:ascii="Times New Roman" w:hAnsi="Times New Roman" w:eastAsia="方正仿宋_GB2312" w:cs="Times New Roman"/>
                <w:color w:val="auto"/>
                <w:kern w:val="0"/>
                <w:sz w:val="24"/>
                <w:szCs w:val="24"/>
                <w:lang w:bidi="ar"/>
                <w14:ligatures w14:val="standardContextual"/>
              </w:rPr>
              <w:br w:type="textWrapping"/>
            </w:r>
            <w:r>
              <w:rPr>
                <w:rFonts w:ascii="Times New Roman" w:hAnsi="Times New Roman" w:eastAsia="方正仿宋_GB2312" w:cs="Times New Roman"/>
                <w:color w:val="auto"/>
                <w:kern w:val="0"/>
                <w:sz w:val="24"/>
                <w:szCs w:val="24"/>
                <w:lang w:bidi="ar"/>
                <w14:ligatures w14:val="standardContextual"/>
              </w:rPr>
              <w:t>（1）太阳能光伏电站的设计装机容量与发电效率、屋面利用方案、采购方案、安装施工方案、接入手续办理方案、项目备案方案、设备调试方案及其它必要设计与实施方案；</w:t>
            </w:r>
            <w:r>
              <w:rPr>
                <w:rFonts w:ascii="Times New Roman" w:hAnsi="Times New Roman" w:eastAsia="方正仿宋_GB2312" w:cs="Times New Roman"/>
                <w:color w:val="auto"/>
                <w:kern w:val="0"/>
                <w:sz w:val="24"/>
                <w:szCs w:val="24"/>
                <w:lang w:bidi="ar"/>
                <w14:ligatures w14:val="standardContextual"/>
              </w:rPr>
              <w:br w:type="textWrapping"/>
            </w:r>
            <w:r>
              <w:rPr>
                <w:rFonts w:ascii="Times New Roman" w:hAnsi="Times New Roman" w:eastAsia="方正仿宋_GB2312" w:cs="Times New Roman"/>
                <w:color w:val="auto"/>
                <w:kern w:val="0"/>
                <w:sz w:val="24"/>
                <w:szCs w:val="24"/>
                <w:lang w:bidi="ar"/>
                <w14:ligatures w14:val="standardContextual"/>
              </w:rPr>
              <w:t>（2）储能系统的设计装机容量、采购方案、安装施工方案、接入手续办理方案、设备调试方案及其它必要设计与实施方案；</w:t>
            </w:r>
            <w:r>
              <w:rPr>
                <w:rFonts w:ascii="Times New Roman" w:hAnsi="Times New Roman" w:eastAsia="方正仿宋_GB2312" w:cs="Times New Roman"/>
                <w:color w:val="auto"/>
                <w:kern w:val="0"/>
                <w:sz w:val="24"/>
                <w:szCs w:val="24"/>
                <w:lang w:bidi="ar"/>
                <w14:ligatures w14:val="standardContextual"/>
              </w:rPr>
              <w:br w:type="textWrapping"/>
            </w:r>
            <w:r>
              <w:rPr>
                <w:rFonts w:ascii="Times New Roman" w:hAnsi="Times New Roman" w:eastAsia="方正仿宋_GB2312" w:cs="Times New Roman"/>
                <w:color w:val="auto"/>
                <w:kern w:val="0"/>
                <w:sz w:val="24"/>
                <w:szCs w:val="24"/>
                <w:lang w:bidi="ar"/>
                <w14:ligatures w14:val="standardContextual"/>
              </w:rPr>
              <w:t>对参选合作单位设计与实施方案的完善程度及合理性进行打分。方案合理、措施完善得15-25分，方案较为合理、措施较为完善得10-15分，方案较差、措施一般得0-10分。</w:t>
            </w:r>
          </w:p>
        </w:tc>
        <w:tc>
          <w:tcPr>
            <w:tcW w:w="694" w:type="pct"/>
            <w:tcBorders>
              <w:top w:val="single" w:color="000000" w:sz="4" w:space="0"/>
              <w:left w:val="single" w:color="000000" w:sz="4" w:space="0"/>
              <w:bottom w:val="single" w:color="000000" w:sz="4" w:space="0"/>
              <w:right w:val="single" w:color="000000" w:sz="4" w:space="0"/>
            </w:tcBorders>
            <w:vAlign w:val="center"/>
          </w:tcPr>
          <w:p w14:paraId="198CE48B">
            <w:pPr>
              <w:jc w:val="center"/>
              <w:rPr>
                <w:rFonts w:ascii="Times New Roman" w:hAnsi="Times New Roman" w:eastAsia="方正仿宋_GB2312" w:cs="Times New Roman"/>
                <w:color w:val="auto"/>
                <w:sz w:val="24"/>
                <w:szCs w:val="24"/>
              </w:rPr>
            </w:pPr>
          </w:p>
        </w:tc>
      </w:tr>
      <w:tr w14:paraId="78D3F912">
        <w:tblPrEx>
          <w:tblCellMar>
            <w:top w:w="0" w:type="dxa"/>
            <w:left w:w="108" w:type="dxa"/>
            <w:bottom w:w="0" w:type="dxa"/>
            <w:right w:w="108" w:type="dxa"/>
          </w:tblCellMar>
        </w:tblPrEx>
        <w:trPr>
          <w:trHeight w:val="2268" w:hRule="atLeast"/>
        </w:trPr>
        <w:tc>
          <w:tcPr>
            <w:tcW w:w="320" w:type="pct"/>
            <w:tcBorders>
              <w:top w:val="single" w:color="000000" w:sz="4" w:space="0"/>
              <w:left w:val="single" w:color="000000" w:sz="4" w:space="0"/>
              <w:bottom w:val="single" w:color="000000" w:sz="4" w:space="0"/>
              <w:right w:val="single" w:color="000000" w:sz="4" w:space="0"/>
            </w:tcBorders>
            <w:vAlign w:val="center"/>
          </w:tcPr>
          <w:p w14:paraId="24B59F15">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3</w:t>
            </w: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66A4AC10">
            <w:pPr>
              <w:jc w:val="center"/>
              <w:rPr>
                <w:rFonts w:ascii="Times New Roman" w:hAnsi="Times New Roman" w:eastAsia="方正仿宋_GB2312" w:cs="Times New Roman"/>
                <w:color w:val="auto"/>
                <w:sz w:val="24"/>
                <w:szCs w:val="24"/>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5669CDEF">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项目运营管理方案</w:t>
            </w:r>
          </w:p>
        </w:tc>
        <w:tc>
          <w:tcPr>
            <w:tcW w:w="467" w:type="pct"/>
            <w:tcBorders>
              <w:top w:val="single" w:color="000000" w:sz="4" w:space="0"/>
              <w:left w:val="single" w:color="000000" w:sz="4" w:space="0"/>
              <w:bottom w:val="single" w:color="000000" w:sz="4" w:space="0"/>
              <w:right w:val="single" w:color="000000" w:sz="4" w:space="0"/>
            </w:tcBorders>
            <w:vAlign w:val="center"/>
          </w:tcPr>
          <w:p w14:paraId="340E27C9">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20</w:t>
            </w:r>
          </w:p>
        </w:tc>
        <w:tc>
          <w:tcPr>
            <w:tcW w:w="2719" w:type="pct"/>
            <w:tcBorders>
              <w:top w:val="single" w:color="000000" w:sz="4" w:space="0"/>
              <w:left w:val="single" w:color="000000" w:sz="4" w:space="0"/>
              <w:bottom w:val="single" w:color="000000" w:sz="4" w:space="0"/>
              <w:right w:val="single" w:color="000000" w:sz="4" w:space="0"/>
            </w:tcBorders>
            <w:vAlign w:val="center"/>
          </w:tcPr>
          <w:p w14:paraId="1E191B52">
            <w:pPr>
              <w:widowControl/>
              <w:jc w:val="left"/>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针对太阳能光伏电站与储能系统建成后的运营制定详细方案。包括运营目标、运营管理架构、定期维护计划、安全管理、消防管理、应急处理措施方案。</w:t>
            </w:r>
            <w:r>
              <w:rPr>
                <w:rFonts w:ascii="Times New Roman" w:hAnsi="Times New Roman" w:eastAsia="方正仿宋_GB2312" w:cs="Times New Roman"/>
                <w:color w:val="auto"/>
                <w:kern w:val="0"/>
                <w:sz w:val="24"/>
                <w:szCs w:val="24"/>
                <w:lang w:bidi="ar"/>
                <w14:ligatures w14:val="standardContextual"/>
              </w:rPr>
              <w:br w:type="textWrapping"/>
            </w:r>
            <w:r>
              <w:rPr>
                <w:rFonts w:ascii="Times New Roman" w:hAnsi="Times New Roman" w:eastAsia="方正仿宋_GB2312" w:cs="Times New Roman"/>
                <w:color w:val="auto"/>
                <w:kern w:val="0"/>
                <w:sz w:val="24"/>
                <w:szCs w:val="24"/>
                <w:lang w:bidi="ar"/>
                <w14:ligatures w14:val="standardContextual"/>
              </w:rPr>
              <w:t>方案合理、针对性强的得15-20分，方案较完整，针对性一般的得7-14分，方案含糊，针对性较差得0-6分。</w:t>
            </w:r>
          </w:p>
        </w:tc>
        <w:tc>
          <w:tcPr>
            <w:tcW w:w="694" w:type="pct"/>
            <w:tcBorders>
              <w:top w:val="single" w:color="000000" w:sz="4" w:space="0"/>
              <w:left w:val="single" w:color="000000" w:sz="4" w:space="0"/>
              <w:bottom w:val="single" w:color="000000" w:sz="4" w:space="0"/>
              <w:right w:val="single" w:color="000000" w:sz="4" w:space="0"/>
            </w:tcBorders>
            <w:vAlign w:val="center"/>
          </w:tcPr>
          <w:p w14:paraId="4439CF56">
            <w:pPr>
              <w:jc w:val="left"/>
              <w:rPr>
                <w:rFonts w:ascii="Times New Roman" w:hAnsi="Times New Roman" w:eastAsia="方正仿宋_GB2312" w:cs="Times New Roman"/>
                <w:color w:val="auto"/>
                <w:sz w:val="24"/>
                <w:szCs w:val="24"/>
              </w:rPr>
            </w:pPr>
          </w:p>
        </w:tc>
      </w:tr>
      <w:tr w14:paraId="6A4EF495">
        <w:tblPrEx>
          <w:tblCellMar>
            <w:top w:w="0" w:type="dxa"/>
            <w:left w:w="108" w:type="dxa"/>
            <w:bottom w:w="0" w:type="dxa"/>
            <w:right w:w="108" w:type="dxa"/>
          </w:tblCellMar>
        </w:tblPrEx>
        <w:trPr>
          <w:trHeight w:val="2051" w:hRule="atLeast"/>
        </w:trPr>
        <w:tc>
          <w:tcPr>
            <w:tcW w:w="320" w:type="pct"/>
            <w:tcBorders>
              <w:top w:val="single" w:color="000000" w:sz="4" w:space="0"/>
              <w:left w:val="single" w:color="000000" w:sz="4" w:space="0"/>
              <w:bottom w:val="single" w:color="000000" w:sz="4" w:space="0"/>
              <w:right w:val="single" w:color="000000" w:sz="4" w:space="0"/>
            </w:tcBorders>
            <w:vAlign w:val="center"/>
          </w:tcPr>
          <w:p w14:paraId="770717C7">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4</w:t>
            </w: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66283164">
            <w:pPr>
              <w:jc w:val="center"/>
              <w:rPr>
                <w:rFonts w:ascii="Times New Roman" w:hAnsi="Times New Roman" w:eastAsia="方正仿宋_GB2312" w:cs="Times New Roman"/>
                <w:color w:val="auto"/>
                <w:sz w:val="24"/>
                <w:szCs w:val="24"/>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2EFBAC29">
            <w:pPr>
              <w:widowControl/>
              <w:jc w:val="center"/>
              <w:textAlignment w:val="center"/>
              <w:rPr>
                <w:rFonts w:ascii="Times New Roman" w:hAnsi="Times New Roman" w:eastAsia="方正仿宋_GB2312" w:cs="Times New Roman"/>
                <w:color w:val="auto"/>
                <w:kern w:val="0"/>
                <w:sz w:val="24"/>
                <w:szCs w:val="24"/>
                <w:lang w:bidi="ar"/>
                <w14:ligatures w14:val="standardContextual"/>
              </w:rPr>
            </w:pPr>
            <w:r>
              <w:rPr>
                <w:rFonts w:ascii="Times New Roman" w:hAnsi="Times New Roman" w:eastAsia="方正仿宋_GB2312" w:cs="Times New Roman"/>
                <w:color w:val="auto"/>
                <w:kern w:val="0"/>
                <w:sz w:val="24"/>
                <w:szCs w:val="24"/>
                <w:lang w:bidi="ar"/>
                <w14:ligatures w14:val="standardContextual"/>
              </w:rPr>
              <w:t>企业资质</w:t>
            </w:r>
          </w:p>
          <w:p w14:paraId="08086AC7">
            <w:pPr>
              <w:pStyle w:val="3"/>
              <w:ind w:firstLine="0"/>
              <w:rPr>
                <w:rFonts w:ascii="Times New Roman" w:hAnsi="Times New Roman" w:eastAsia="方正仿宋_GB2312" w:cs="Times New Roman"/>
                <w:color w:val="auto"/>
              </w:rPr>
            </w:pPr>
            <w:r>
              <w:rPr>
                <w:rFonts w:ascii="Times New Roman" w:hAnsi="Times New Roman" w:eastAsia="方正仿宋_GB2312" w:cs="Times New Roman"/>
                <w:color w:val="auto"/>
                <w:lang w:bidi="ar"/>
                <w14:ligatures w14:val="standardContextual"/>
              </w:rPr>
              <w:t>规模</w:t>
            </w:r>
          </w:p>
        </w:tc>
        <w:tc>
          <w:tcPr>
            <w:tcW w:w="467" w:type="pct"/>
            <w:tcBorders>
              <w:top w:val="single" w:color="000000" w:sz="4" w:space="0"/>
              <w:left w:val="single" w:color="000000" w:sz="4" w:space="0"/>
              <w:bottom w:val="single" w:color="000000" w:sz="4" w:space="0"/>
              <w:right w:val="single" w:color="000000" w:sz="4" w:space="0"/>
            </w:tcBorders>
            <w:vAlign w:val="center"/>
          </w:tcPr>
          <w:p w14:paraId="45F50B84">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10</w:t>
            </w:r>
          </w:p>
        </w:tc>
        <w:tc>
          <w:tcPr>
            <w:tcW w:w="2719" w:type="pct"/>
            <w:tcBorders>
              <w:top w:val="single" w:color="000000" w:sz="4" w:space="0"/>
              <w:left w:val="single" w:color="000000" w:sz="4" w:space="0"/>
              <w:bottom w:val="single" w:color="000000" w:sz="4" w:space="0"/>
              <w:right w:val="single" w:color="000000" w:sz="4" w:space="0"/>
            </w:tcBorders>
            <w:vAlign w:val="center"/>
          </w:tcPr>
          <w:p w14:paraId="64C79BC5">
            <w:pPr>
              <w:widowControl/>
              <w:jc w:val="left"/>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（1）参选合作单位具备承装（修、试）电力设施许可证四级（或以上）资质的得5分，不提供不得分；</w:t>
            </w:r>
            <w:r>
              <w:rPr>
                <w:rFonts w:ascii="Times New Roman" w:hAnsi="Times New Roman" w:eastAsia="方正仿宋_GB2312" w:cs="Times New Roman"/>
                <w:color w:val="auto"/>
                <w:kern w:val="0"/>
                <w:sz w:val="24"/>
                <w:szCs w:val="24"/>
                <w:lang w:bidi="ar"/>
                <w14:ligatures w14:val="standardContextual"/>
              </w:rPr>
              <w:br w:type="textWrapping"/>
            </w:r>
            <w:r>
              <w:rPr>
                <w:rFonts w:ascii="Times New Roman" w:hAnsi="Times New Roman" w:eastAsia="方正仿宋_GB2312" w:cs="Times New Roman"/>
                <w:color w:val="auto"/>
                <w:kern w:val="0"/>
                <w:sz w:val="24"/>
                <w:szCs w:val="24"/>
                <w:lang w:bidi="ar"/>
                <w14:ligatures w14:val="standardContextual"/>
              </w:rPr>
              <w:t>（2）参选合作单位实缴注册资本金不低于2000万（提供验资报告或审计报告）具备条件的得5分，不具备不得分。</w:t>
            </w:r>
          </w:p>
        </w:tc>
        <w:tc>
          <w:tcPr>
            <w:tcW w:w="694" w:type="pct"/>
            <w:tcBorders>
              <w:top w:val="single" w:color="000000" w:sz="4" w:space="0"/>
              <w:left w:val="single" w:color="000000" w:sz="4" w:space="0"/>
              <w:bottom w:val="single" w:color="000000" w:sz="4" w:space="0"/>
              <w:right w:val="single" w:color="000000" w:sz="4" w:space="0"/>
            </w:tcBorders>
            <w:vAlign w:val="center"/>
          </w:tcPr>
          <w:p w14:paraId="58AFC615">
            <w:pPr>
              <w:jc w:val="center"/>
              <w:rPr>
                <w:rFonts w:ascii="Times New Roman" w:hAnsi="Times New Roman" w:eastAsia="方正仿宋_GB2312" w:cs="Times New Roman"/>
                <w:color w:val="auto"/>
                <w:sz w:val="24"/>
                <w:szCs w:val="24"/>
              </w:rPr>
            </w:pPr>
          </w:p>
        </w:tc>
      </w:tr>
      <w:tr w14:paraId="3C82DBF2">
        <w:tblPrEx>
          <w:tblCellMar>
            <w:top w:w="0" w:type="dxa"/>
            <w:left w:w="108" w:type="dxa"/>
            <w:bottom w:w="0" w:type="dxa"/>
            <w:right w:w="108" w:type="dxa"/>
          </w:tblCellMar>
        </w:tblPrEx>
        <w:trPr>
          <w:trHeight w:val="1890" w:hRule="atLeast"/>
        </w:trPr>
        <w:tc>
          <w:tcPr>
            <w:tcW w:w="320" w:type="pct"/>
            <w:tcBorders>
              <w:top w:val="single" w:color="000000" w:sz="4" w:space="0"/>
              <w:left w:val="single" w:color="000000" w:sz="4" w:space="0"/>
              <w:bottom w:val="single" w:color="000000" w:sz="4" w:space="0"/>
              <w:right w:val="single" w:color="000000" w:sz="4" w:space="0"/>
            </w:tcBorders>
            <w:vAlign w:val="center"/>
          </w:tcPr>
          <w:p w14:paraId="7209F9FA">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5</w:t>
            </w: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03C7E3B6">
            <w:pPr>
              <w:jc w:val="center"/>
              <w:rPr>
                <w:rFonts w:ascii="Times New Roman" w:hAnsi="Times New Roman" w:eastAsia="方正仿宋_GB2312" w:cs="Times New Roman"/>
                <w:color w:val="auto"/>
                <w:sz w:val="24"/>
                <w:szCs w:val="24"/>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26776235">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管理人员资质</w:t>
            </w:r>
          </w:p>
        </w:tc>
        <w:tc>
          <w:tcPr>
            <w:tcW w:w="467" w:type="pct"/>
            <w:tcBorders>
              <w:top w:val="single" w:color="000000" w:sz="4" w:space="0"/>
              <w:left w:val="single" w:color="000000" w:sz="4" w:space="0"/>
              <w:bottom w:val="single" w:color="000000" w:sz="4" w:space="0"/>
              <w:right w:val="single" w:color="000000" w:sz="4" w:space="0"/>
            </w:tcBorders>
            <w:vAlign w:val="center"/>
          </w:tcPr>
          <w:p w14:paraId="4CFF61B8">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5</w:t>
            </w:r>
          </w:p>
        </w:tc>
        <w:tc>
          <w:tcPr>
            <w:tcW w:w="2719" w:type="pct"/>
            <w:tcBorders>
              <w:top w:val="single" w:color="000000" w:sz="4" w:space="0"/>
              <w:left w:val="single" w:color="000000" w:sz="4" w:space="0"/>
              <w:bottom w:val="single" w:color="000000" w:sz="4" w:space="0"/>
              <w:right w:val="single" w:color="000000" w:sz="4" w:space="0"/>
            </w:tcBorders>
            <w:vAlign w:val="center"/>
          </w:tcPr>
          <w:p w14:paraId="7C54C135">
            <w:pPr>
              <w:widowControl/>
              <w:jc w:val="left"/>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具备高级职称人员，2分/人，具备中级职称人员，1分/人，最高不超过5分，不提供不得分（需提供证件扫描件与人员在参选合作单位的3个月社保缴纳记录）；</w:t>
            </w:r>
          </w:p>
        </w:tc>
        <w:tc>
          <w:tcPr>
            <w:tcW w:w="694" w:type="pct"/>
            <w:tcBorders>
              <w:top w:val="single" w:color="000000" w:sz="4" w:space="0"/>
              <w:left w:val="single" w:color="000000" w:sz="4" w:space="0"/>
              <w:bottom w:val="single" w:color="000000" w:sz="4" w:space="0"/>
              <w:right w:val="single" w:color="000000" w:sz="4" w:space="0"/>
            </w:tcBorders>
            <w:vAlign w:val="center"/>
          </w:tcPr>
          <w:p w14:paraId="5A8507A3">
            <w:pPr>
              <w:jc w:val="center"/>
              <w:rPr>
                <w:rFonts w:ascii="Times New Roman" w:hAnsi="Times New Roman" w:eastAsia="方正仿宋_GB2312" w:cs="Times New Roman"/>
                <w:color w:val="auto"/>
                <w:sz w:val="24"/>
                <w:szCs w:val="24"/>
              </w:rPr>
            </w:pPr>
          </w:p>
        </w:tc>
      </w:tr>
      <w:tr w14:paraId="193372D4">
        <w:tblPrEx>
          <w:tblCellMar>
            <w:top w:w="0" w:type="dxa"/>
            <w:left w:w="108" w:type="dxa"/>
            <w:bottom w:w="0" w:type="dxa"/>
            <w:right w:w="108" w:type="dxa"/>
          </w:tblCellMar>
        </w:tblPrEx>
        <w:trPr>
          <w:trHeight w:val="2860" w:hRule="atLeast"/>
        </w:trPr>
        <w:tc>
          <w:tcPr>
            <w:tcW w:w="320" w:type="pct"/>
            <w:tcBorders>
              <w:top w:val="single" w:color="000000" w:sz="4" w:space="0"/>
              <w:left w:val="single" w:color="000000" w:sz="4" w:space="0"/>
              <w:bottom w:val="single" w:color="000000" w:sz="4" w:space="0"/>
              <w:right w:val="single" w:color="000000" w:sz="4" w:space="0"/>
            </w:tcBorders>
            <w:vAlign w:val="center"/>
          </w:tcPr>
          <w:p w14:paraId="033CA3B1">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6</w:t>
            </w:r>
          </w:p>
        </w:tc>
        <w:tc>
          <w:tcPr>
            <w:tcW w:w="394" w:type="pct"/>
            <w:vMerge w:val="continue"/>
            <w:tcBorders>
              <w:top w:val="single" w:color="000000" w:sz="4" w:space="0"/>
              <w:left w:val="single" w:color="000000" w:sz="4" w:space="0"/>
              <w:bottom w:val="nil"/>
              <w:right w:val="single" w:color="000000" w:sz="4" w:space="0"/>
            </w:tcBorders>
            <w:vAlign w:val="center"/>
          </w:tcPr>
          <w:p w14:paraId="4860696F">
            <w:pPr>
              <w:jc w:val="center"/>
              <w:rPr>
                <w:rFonts w:ascii="Times New Roman" w:hAnsi="Times New Roman" w:eastAsia="方正仿宋_GB2312" w:cs="Times New Roman"/>
                <w:color w:val="auto"/>
                <w:sz w:val="24"/>
                <w:szCs w:val="24"/>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35B9A0A4">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本地化服务能力与业绩证明</w:t>
            </w:r>
          </w:p>
        </w:tc>
        <w:tc>
          <w:tcPr>
            <w:tcW w:w="467" w:type="pct"/>
            <w:tcBorders>
              <w:top w:val="single" w:color="000000" w:sz="4" w:space="0"/>
              <w:left w:val="single" w:color="000000" w:sz="4" w:space="0"/>
              <w:bottom w:val="single" w:color="000000" w:sz="4" w:space="0"/>
              <w:right w:val="single" w:color="000000" w:sz="4" w:space="0"/>
            </w:tcBorders>
            <w:vAlign w:val="center"/>
          </w:tcPr>
          <w:p w14:paraId="2D5491D7">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15</w:t>
            </w:r>
          </w:p>
        </w:tc>
        <w:tc>
          <w:tcPr>
            <w:tcW w:w="2719" w:type="pct"/>
            <w:tcBorders>
              <w:top w:val="single" w:color="000000" w:sz="4" w:space="0"/>
              <w:left w:val="single" w:color="000000" w:sz="4" w:space="0"/>
              <w:bottom w:val="single" w:color="000000" w:sz="4" w:space="0"/>
              <w:right w:val="single" w:color="000000" w:sz="4" w:space="0"/>
            </w:tcBorders>
            <w:vAlign w:val="center"/>
          </w:tcPr>
          <w:p w14:paraId="206BABEA">
            <w:pPr>
              <w:widowControl/>
              <w:jc w:val="left"/>
              <w:textAlignment w:val="center"/>
              <w:rPr>
                <w:rFonts w:ascii="Times New Roman" w:hAnsi="Times New Roman" w:eastAsia="方正仿宋_GB2312" w:cs="Times New Roman"/>
                <w:color w:val="auto"/>
                <w:kern w:val="0"/>
                <w:sz w:val="24"/>
                <w:szCs w:val="24"/>
                <w:lang w:bidi="ar"/>
                <w14:ligatures w14:val="standardContextual"/>
              </w:rPr>
            </w:pPr>
            <w:r>
              <w:rPr>
                <w:rFonts w:ascii="Times New Roman" w:hAnsi="Times New Roman" w:eastAsia="方正仿宋_GB2312" w:cs="Times New Roman"/>
                <w:color w:val="auto"/>
                <w:kern w:val="0"/>
                <w:sz w:val="24"/>
                <w:szCs w:val="24"/>
                <w:lang w:bidi="ar"/>
                <w14:ligatures w14:val="standardContextual"/>
              </w:rPr>
              <w:t>（1）参选合作单位自2024年1月1日至投标截止时间为止在重庆市行政区划范围内光伏1MW或储能1MWh以上的类似项目业绩的，每提供一个业绩合同得2分；每提供一项光伏+储能一体化业绩合同得4分，最高得分为10分。</w:t>
            </w:r>
            <w:r>
              <w:rPr>
                <w:rFonts w:ascii="Times New Roman" w:hAnsi="Times New Roman" w:eastAsia="方正仿宋_GB2312" w:cs="Times New Roman"/>
                <w:color w:val="auto"/>
                <w:kern w:val="0"/>
                <w:sz w:val="24"/>
                <w:szCs w:val="24"/>
                <w:lang w:bidi="ar"/>
                <w14:ligatures w14:val="standardContextual"/>
              </w:rPr>
              <w:br w:type="textWrapping"/>
            </w:r>
            <w:r>
              <w:rPr>
                <w:rFonts w:ascii="Times New Roman" w:hAnsi="Times New Roman" w:eastAsia="方正仿宋_GB2312" w:cs="Times New Roman"/>
                <w:color w:val="auto"/>
                <w:kern w:val="0"/>
                <w:sz w:val="24"/>
                <w:szCs w:val="24"/>
                <w:lang w:bidi="ar"/>
                <w14:ligatures w14:val="standardContextual"/>
              </w:rPr>
              <w:t>注：类似项目为2024年1月1日以来参选合作单位签署的含盖投资、建设、运营一体化的光伏电站项目。时间以合同签订时间为准，投标单位须将合同（体现合同签订时间、合同主要内容的关键页）原件扫描制作在参选文件中，否则不得分。</w:t>
            </w:r>
          </w:p>
          <w:p w14:paraId="5DAEFC6F">
            <w:pPr>
              <w:pStyle w:val="3"/>
              <w:numPr>
                <w:ilvl w:val="255"/>
                <w:numId w:val="0"/>
              </w:numPr>
              <w:rPr>
                <w:rFonts w:ascii="Times New Roman" w:hAnsi="Times New Roman" w:eastAsia="方正仿宋_GB2312" w:cs="Times New Roman"/>
                <w:color w:val="auto"/>
              </w:rPr>
            </w:pPr>
            <w:r>
              <w:rPr>
                <w:rFonts w:ascii="Times New Roman" w:hAnsi="Times New Roman" w:eastAsia="方正仿宋_GB2312" w:cs="Times New Roman"/>
                <w:color w:val="auto"/>
                <w:lang w:bidi="ar"/>
                <w14:ligatures w14:val="standardContextual"/>
              </w:rPr>
              <w:t>（2）参选合作单位具备监控系统建设业绩的，提供相关合同的得5分，不提供不得分。</w:t>
            </w:r>
          </w:p>
        </w:tc>
        <w:tc>
          <w:tcPr>
            <w:tcW w:w="694" w:type="pct"/>
            <w:tcBorders>
              <w:top w:val="single" w:color="000000" w:sz="4" w:space="0"/>
              <w:left w:val="single" w:color="000000" w:sz="4" w:space="0"/>
              <w:bottom w:val="single" w:color="000000" w:sz="4" w:space="0"/>
              <w:right w:val="single" w:color="000000" w:sz="4" w:space="0"/>
            </w:tcBorders>
            <w:vAlign w:val="center"/>
          </w:tcPr>
          <w:p w14:paraId="1D1712A8">
            <w:pPr>
              <w:jc w:val="center"/>
              <w:rPr>
                <w:rFonts w:ascii="Times New Roman" w:hAnsi="Times New Roman" w:eastAsia="方正仿宋_GB2312" w:cs="Times New Roman"/>
                <w:color w:val="auto"/>
                <w:sz w:val="24"/>
                <w:szCs w:val="24"/>
              </w:rPr>
            </w:pPr>
          </w:p>
        </w:tc>
      </w:tr>
      <w:tr w14:paraId="3EE009F9">
        <w:tblPrEx>
          <w:tblCellMar>
            <w:top w:w="0" w:type="dxa"/>
            <w:left w:w="108" w:type="dxa"/>
            <w:bottom w:w="0" w:type="dxa"/>
            <w:right w:w="108" w:type="dxa"/>
          </w:tblCellMar>
        </w:tblPrEx>
        <w:trPr>
          <w:trHeight w:val="600" w:hRule="atLeast"/>
        </w:trPr>
        <w:tc>
          <w:tcPr>
            <w:tcW w:w="1120" w:type="pct"/>
            <w:gridSpan w:val="3"/>
            <w:tcBorders>
              <w:top w:val="single" w:color="000000" w:sz="4" w:space="0"/>
              <w:left w:val="single" w:color="000000" w:sz="4" w:space="0"/>
              <w:bottom w:val="single" w:color="000000" w:sz="4" w:space="0"/>
              <w:right w:val="single" w:color="000000" w:sz="4" w:space="0"/>
            </w:tcBorders>
            <w:vAlign w:val="center"/>
          </w:tcPr>
          <w:p w14:paraId="65C8E08B">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合计</w:t>
            </w:r>
          </w:p>
        </w:tc>
        <w:tc>
          <w:tcPr>
            <w:tcW w:w="467" w:type="pct"/>
            <w:tcBorders>
              <w:top w:val="single" w:color="000000" w:sz="4" w:space="0"/>
              <w:left w:val="single" w:color="000000" w:sz="4" w:space="0"/>
              <w:bottom w:val="single" w:color="000000" w:sz="4" w:space="0"/>
              <w:right w:val="single" w:color="000000" w:sz="4" w:space="0"/>
            </w:tcBorders>
            <w:vAlign w:val="center"/>
          </w:tcPr>
          <w:p w14:paraId="665B10CE">
            <w:pPr>
              <w:widowControl/>
              <w:jc w:val="center"/>
              <w:textAlignment w:val="center"/>
              <w:rPr>
                <w:rFonts w:ascii="Times New Roman" w:hAnsi="Times New Roman" w:eastAsia="方正仿宋_GB2312" w:cs="Times New Roman"/>
                <w:color w:val="auto"/>
                <w:sz w:val="24"/>
                <w:szCs w:val="24"/>
              </w:rPr>
            </w:pPr>
            <w:r>
              <w:rPr>
                <w:rFonts w:ascii="Times New Roman" w:hAnsi="Times New Roman" w:eastAsia="方正仿宋_GB2312" w:cs="Times New Roman"/>
                <w:color w:val="auto"/>
                <w:kern w:val="0"/>
                <w:sz w:val="24"/>
                <w:szCs w:val="24"/>
                <w:lang w:bidi="ar"/>
                <w14:ligatures w14:val="standardContextual"/>
              </w:rPr>
              <w:t>100</w:t>
            </w:r>
          </w:p>
        </w:tc>
        <w:tc>
          <w:tcPr>
            <w:tcW w:w="2719" w:type="pct"/>
            <w:tcBorders>
              <w:top w:val="single" w:color="000000" w:sz="4" w:space="0"/>
              <w:left w:val="single" w:color="000000" w:sz="4" w:space="0"/>
              <w:bottom w:val="single" w:color="000000" w:sz="4" w:space="0"/>
              <w:right w:val="single" w:color="000000" w:sz="4" w:space="0"/>
            </w:tcBorders>
            <w:vAlign w:val="center"/>
          </w:tcPr>
          <w:p w14:paraId="4EA0A6A5">
            <w:pPr>
              <w:jc w:val="center"/>
              <w:rPr>
                <w:rFonts w:ascii="Times New Roman" w:hAnsi="Times New Roman" w:eastAsia="方正仿宋_GB2312" w:cs="Times New Roman"/>
                <w:color w:val="auto"/>
                <w:sz w:val="24"/>
                <w:szCs w:val="24"/>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0425F2CB">
            <w:pPr>
              <w:jc w:val="center"/>
              <w:rPr>
                <w:rFonts w:ascii="Times New Roman" w:hAnsi="Times New Roman" w:eastAsia="方正仿宋_GB2312" w:cs="Times New Roman"/>
                <w:color w:val="auto"/>
                <w:sz w:val="24"/>
                <w:szCs w:val="24"/>
              </w:rPr>
            </w:pPr>
          </w:p>
        </w:tc>
      </w:tr>
    </w:tbl>
    <w:p w14:paraId="65BA8EC6">
      <w:pPr>
        <w:spacing w:line="360" w:lineRule="auto"/>
        <w:rPr>
          <w:rFonts w:ascii="Times New Roman" w:hAnsi="Times New Roman" w:eastAsia="方正仿宋_GB2312" w:cs="Times New Roman"/>
          <w:b/>
          <w:bCs/>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E3282558-6ECB-4270-B6E0-36232C44EDE5}"/>
  </w:font>
  <w:font w:name="Cambria">
    <w:panose1 w:val="02040503050406030204"/>
    <w:charset w:val="00"/>
    <w:family w:val="roman"/>
    <w:pitch w:val="default"/>
    <w:sig w:usb0="E00002FF" w:usb1="400004FF" w:usb2="00000000" w:usb3="00000000" w:csb0="2000019F" w:csb1="00000000"/>
    <w:embedRegular r:id="rId2" w:fontKey="{388A977E-4702-45DC-97F2-9828B22C0AFA}"/>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C75973"/>
    <w:multiLevelType w:val="singleLevel"/>
    <w:tmpl w:val="C0C75973"/>
    <w:lvl w:ilvl="0" w:tentative="0">
      <w:start w:val="2"/>
      <w:numFmt w:val="chineseCounting"/>
      <w:suff w:val="nothing"/>
      <w:lvlText w:val="（%1）"/>
      <w:lvlJc w:val="left"/>
      <w:rPr>
        <w:rFonts w:hint="eastAsia"/>
      </w:rPr>
    </w:lvl>
  </w:abstractNum>
  <w:abstractNum w:abstractNumId="1">
    <w:nsid w:val="F0374616"/>
    <w:multiLevelType w:val="singleLevel"/>
    <w:tmpl w:val="F0374616"/>
    <w:lvl w:ilvl="0" w:tentative="0">
      <w:start w:val="1"/>
      <w:numFmt w:val="decimal"/>
      <w:suff w:val="nothing"/>
      <w:lvlText w:val="（%1）"/>
      <w:lvlJc w:val="left"/>
    </w:lvl>
  </w:abstractNum>
  <w:abstractNum w:abstractNumId="2">
    <w:nsid w:val="02D67E5C"/>
    <w:multiLevelType w:val="singleLevel"/>
    <w:tmpl w:val="02D67E5C"/>
    <w:lvl w:ilvl="0" w:tentative="0">
      <w:start w:val="1"/>
      <w:numFmt w:val="chineseCounting"/>
      <w:suff w:val="nothing"/>
      <w:lvlText w:val="%1、"/>
      <w:lvlJc w:val="left"/>
      <w:rPr>
        <w:rFonts w:hint="eastAsia"/>
      </w:rPr>
    </w:lvl>
  </w:abstractNum>
  <w:abstractNum w:abstractNumId="3">
    <w:nsid w:val="462C1C64"/>
    <w:multiLevelType w:val="singleLevel"/>
    <w:tmpl w:val="462C1C64"/>
    <w:lvl w:ilvl="0" w:tentative="0">
      <w:start w:val="4"/>
      <w:numFmt w:val="chineseCounting"/>
      <w:suff w:val="nothing"/>
      <w:lvlText w:val="%1、"/>
      <w:lvlJc w:val="left"/>
      <w:rPr>
        <w:rFonts w:hint="eastAsia"/>
      </w:rPr>
    </w:lvl>
  </w:abstractNum>
  <w:abstractNum w:abstractNumId="4">
    <w:nsid w:val="4DD648D7"/>
    <w:multiLevelType w:val="singleLevel"/>
    <w:tmpl w:val="4DD648D7"/>
    <w:lvl w:ilvl="0" w:tentative="0">
      <w:start w:val="2"/>
      <w:numFmt w:val="chineseCounting"/>
      <w:suff w:val="space"/>
      <w:lvlText w:val="第%1篇"/>
      <w:lvlJc w:val="left"/>
      <w:rPr>
        <w:rFonts w:hint="eastAsia"/>
      </w:rPr>
    </w:lvl>
  </w:abstractNum>
  <w:abstractNum w:abstractNumId="5">
    <w:nsid w:val="5A5224E8"/>
    <w:multiLevelType w:val="singleLevel"/>
    <w:tmpl w:val="5A5224E8"/>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5A"/>
    <w:rsid w:val="000F7A30"/>
    <w:rsid w:val="00211F46"/>
    <w:rsid w:val="00487920"/>
    <w:rsid w:val="00541430"/>
    <w:rsid w:val="00B91C5A"/>
    <w:rsid w:val="00CD6932"/>
    <w:rsid w:val="03384966"/>
    <w:rsid w:val="1F6D6908"/>
    <w:rsid w:val="20BE734D"/>
    <w:rsid w:val="24A87618"/>
    <w:rsid w:val="30837D76"/>
    <w:rsid w:val="38875997"/>
    <w:rsid w:val="3DDB14C5"/>
    <w:rsid w:val="41E63DE7"/>
    <w:rsid w:val="4327494E"/>
    <w:rsid w:val="4D2A376E"/>
    <w:rsid w:val="4FFE72F0"/>
    <w:rsid w:val="503B1847"/>
    <w:rsid w:val="53170A8F"/>
    <w:rsid w:val="564F19C4"/>
    <w:rsid w:val="57415BE9"/>
    <w:rsid w:val="5A1968F1"/>
    <w:rsid w:val="5A7278DA"/>
    <w:rsid w:val="63D541F7"/>
    <w:rsid w:val="77F43E6E"/>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60"/>
    </w:pPr>
    <w:rPr>
      <w:rFonts w:ascii="宋体" w:hAnsi="宋体"/>
      <w:color w:val="000000"/>
      <w:kern w:val="0"/>
      <w:sz w:val="24"/>
      <w:szCs w:val="24"/>
    </w:rPr>
  </w:style>
  <w:style w:type="paragraph" w:styleId="3">
    <w:name w:val="Body Text First Indent 2"/>
    <w:basedOn w:val="2"/>
    <w:qFormat/>
    <w:uiPriority w:val="0"/>
    <w:pPr>
      <w:ind w:firstLine="420"/>
    </w:pPr>
  </w:style>
  <w:style w:type="paragraph" w:customStyle="1" w:styleId="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5056</Words>
  <Characters>5347</Characters>
  <Lines>178</Lines>
  <Paragraphs>132</Paragraphs>
  <TotalTime>31</TotalTime>
  <ScaleCrop>false</ScaleCrop>
  <LinksUpToDate>false</LinksUpToDate>
  <CharactersWithSpaces>5383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2025-09-19T02:23:00Z</dcterms:created>
  <dc:creator>Administrator</dc:creator>
  <cp:lastModifiedBy>小朋友提不起劲</cp:lastModifiedBy>
  <dcterms:modified xsi:type="dcterms:W3CDTF">2025-09-19T03:35:20Z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eyJoZGlkIjoiZTk0NTNmNjk1YTkyNzIzNThjNjFmNDhiYWFhNWU0NTciLCJ1c2VySWQiOiI1NzIyNzMxMjMifQ==</vt:lpwstr>
  </property>
  <property fmtid="{D5CDD505-2E9C-101B-9397-08002B2CF9AE}" pid="4" name="ICV">
    <vt:lpwstr>417500E4480540138C93D4A3956D6E39_13</vt:lpwstr>
  </property>
</Properties>
</file>