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2069C4">
      <w:pPr>
        <w:spacing w:line="360" w:lineRule="auto"/>
        <w:jc w:val="center"/>
        <w:rPr>
          <w:rFonts w:hint="eastAsia" w:asciiTheme="minorEastAsia" w:hAnsiTheme="minorEastAsia" w:eastAsiaTheme="minorEastAsia" w:cstheme="minorEastAsia"/>
          <w:sz w:val="32"/>
          <w:szCs w:val="32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sz w:val="32"/>
          <w:szCs w:val="32"/>
          <w:lang w:val="en-US" w:eastAsia="zh-CN"/>
        </w:rPr>
        <w:t>三维验证模体</w:t>
      </w:r>
      <w:r>
        <w:rPr>
          <w:rFonts w:hint="eastAsia" w:asciiTheme="minorEastAsia" w:hAnsiTheme="minorEastAsia" w:eastAsiaTheme="minorEastAsia" w:cstheme="minorEastAsia"/>
          <w:b/>
          <w:sz w:val="32"/>
          <w:szCs w:val="32"/>
        </w:rPr>
        <w:t>技术参数</w:t>
      </w:r>
    </w:p>
    <w:p w14:paraId="7084AC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cs="宋体"/>
          <w:b w:val="0"/>
          <w:bCs w:val="0"/>
          <w:sz w:val="24"/>
          <w:szCs w:val="24"/>
        </w:rPr>
      </w:pPr>
      <w:r>
        <w:rPr>
          <w:rFonts w:hint="eastAsia" w:ascii="宋体" w:hAnsi="宋体" w:cs="宋体"/>
          <w:b w:val="0"/>
          <w:bCs w:val="0"/>
          <w:sz w:val="24"/>
          <w:szCs w:val="24"/>
        </w:rPr>
        <w:t>功能要求</w:t>
      </w:r>
      <w:r>
        <w:rPr>
          <w:rFonts w:hint="eastAsia" w:ascii="宋体" w:hAnsi="宋体" w:cs="宋体"/>
          <w:b w:val="0"/>
          <w:bCs w:val="0"/>
          <w:sz w:val="24"/>
          <w:szCs w:val="24"/>
          <w:lang w:eastAsia="zh-CN"/>
        </w:rPr>
        <w:t>：</w:t>
      </w:r>
      <w:r>
        <w:rPr>
          <w:rFonts w:hint="eastAsia" w:ascii="宋体" w:hAnsi="宋体" w:cs="宋体"/>
          <w:b w:val="0"/>
          <w:bCs w:val="0"/>
          <w:sz w:val="24"/>
          <w:szCs w:val="24"/>
        </w:rPr>
        <w:t>三维验证模体是容积旋转调强放疗计划（VMAT）剂量验证的基础模体，结合科室现有计划验证系统可以升级为三维计划验证系统，能实测整个模体体积内的剂量分布，数据比较模式采用2D 和3D 伽马算法分析，可以显示点剂量，1维和2维及3维剂量分布，主要用于肿瘤患者放疗计划三维剂量验证。</w:t>
      </w:r>
    </w:p>
    <w:p w14:paraId="71790D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cs="宋体"/>
          <w:b w:val="0"/>
          <w:bCs w:val="0"/>
          <w:sz w:val="24"/>
          <w:szCs w:val="24"/>
        </w:rPr>
      </w:pPr>
      <w:r>
        <w:rPr>
          <w:rFonts w:hint="eastAsia" w:ascii="宋体" w:hAnsi="宋体" w:cs="宋体"/>
          <w:b w:val="0"/>
          <w:bCs w:val="0"/>
          <w:sz w:val="24"/>
          <w:szCs w:val="24"/>
        </w:rPr>
        <w:t>1</w:t>
      </w:r>
      <w:r>
        <w:rPr>
          <w:rFonts w:hint="eastAsia" w:ascii="宋体" w:hAnsi="宋体" w:cs="宋体"/>
          <w:b w:val="0"/>
          <w:bCs w:val="0"/>
          <w:sz w:val="24"/>
          <w:szCs w:val="24"/>
          <w:lang w:eastAsia="zh-CN"/>
        </w:rPr>
        <w:t>、</w:t>
      </w:r>
      <w:r>
        <w:rPr>
          <w:rFonts w:hint="eastAsia" w:ascii="宋体" w:hAnsi="宋体" w:cs="宋体"/>
          <w:b w:val="0"/>
          <w:bCs w:val="0"/>
          <w:sz w:val="24"/>
          <w:szCs w:val="24"/>
        </w:rPr>
        <w:t>旋转范围</w:t>
      </w:r>
      <w:r>
        <w:rPr>
          <w:rFonts w:hint="eastAsia" w:ascii="宋体" w:hAnsi="宋体" w:cs="宋体"/>
          <w:b w:val="0"/>
          <w:bCs w:val="0"/>
          <w:sz w:val="24"/>
          <w:szCs w:val="24"/>
          <w:lang w:eastAsia="zh-CN"/>
        </w:rPr>
        <w:t>：</w:t>
      </w:r>
      <w:r>
        <w:rPr>
          <w:rFonts w:hint="eastAsia" w:ascii="宋体" w:hAnsi="宋体" w:cs="宋体"/>
          <w:b w:val="0"/>
          <w:bCs w:val="0"/>
          <w:sz w:val="24"/>
          <w:szCs w:val="24"/>
        </w:rPr>
        <w:t>≥360°</w:t>
      </w:r>
    </w:p>
    <w:p w14:paraId="1924DE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cs="宋体"/>
          <w:b w:val="0"/>
          <w:bCs w:val="0"/>
          <w:sz w:val="24"/>
          <w:szCs w:val="24"/>
        </w:rPr>
      </w:pPr>
      <w:r>
        <w:rPr>
          <w:rFonts w:hint="eastAsia" w:ascii="宋体" w:hAnsi="宋体" w:cs="宋体"/>
          <w:b w:val="0"/>
          <w:bCs w:val="0"/>
          <w:sz w:val="24"/>
          <w:szCs w:val="24"/>
        </w:rPr>
        <w:t>2</w:t>
      </w:r>
      <w:r>
        <w:rPr>
          <w:rFonts w:hint="eastAsia" w:ascii="宋体" w:hAnsi="宋体" w:cs="宋体"/>
          <w:b w:val="0"/>
          <w:bCs w:val="0"/>
          <w:sz w:val="24"/>
          <w:szCs w:val="24"/>
          <w:lang w:eastAsia="zh-CN"/>
        </w:rPr>
        <w:t>、</w:t>
      </w:r>
      <w:r>
        <w:rPr>
          <w:rFonts w:hint="eastAsia" w:ascii="宋体" w:hAnsi="宋体" w:cs="宋体"/>
          <w:b w:val="0"/>
          <w:bCs w:val="0"/>
          <w:sz w:val="24"/>
          <w:szCs w:val="24"/>
        </w:rPr>
        <w:t>精度</w:t>
      </w:r>
      <w:r>
        <w:rPr>
          <w:rFonts w:hint="eastAsia" w:ascii="宋体" w:hAnsi="宋体" w:cs="宋体"/>
          <w:b w:val="0"/>
          <w:bCs w:val="0"/>
          <w:sz w:val="24"/>
          <w:szCs w:val="24"/>
          <w:lang w:eastAsia="zh-CN"/>
        </w:rPr>
        <w:t>：</w:t>
      </w:r>
      <w:r>
        <w:rPr>
          <w:rFonts w:hint="eastAsia" w:ascii="宋体" w:hAnsi="宋体" w:cs="宋体"/>
          <w:b w:val="0"/>
          <w:bCs w:val="0"/>
          <w:sz w:val="24"/>
          <w:szCs w:val="24"/>
        </w:rPr>
        <w:t>≤±1°</w:t>
      </w:r>
    </w:p>
    <w:p w14:paraId="6CF4E8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cs="宋体"/>
          <w:b w:val="0"/>
          <w:bCs w:val="0"/>
          <w:sz w:val="24"/>
          <w:szCs w:val="24"/>
          <w:highlight w:val="none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highlight w:val="none"/>
        </w:rPr>
        <w:t>3</w:t>
      </w:r>
      <w:r>
        <w:rPr>
          <w:rFonts w:hint="eastAsia" w:ascii="宋体" w:hAnsi="宋体" w:cs="宋体"/>
          <w:b w:val="0"/>
          <w:bCs w:val="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cs="宋体"/>
          <w:b w:val="0"/>
          <w:bCs w:val="0"/>
          <w:sz w:val="24"/>
          <w:szCs w:val="24"/>
          <w:highlight w:val="none"/>
        </w:rPr>
        <w:t>重复性</w:t>
      </w:r>
      <w:r>
        <w:rPr>
          <w:rFonts w:hint="eastAsia" w:ascii="宋体" w:hAnsi="宋体" w:cs="宋体"/>
          <w:b w:val="0"/>
          <w:bCs w:val="0"/>
          <w:sz w:val="24"/>
          <w:szCs w:val="24"/>
          <w:highlight w:val="none"/>
          <w:lang w:eastAsia="zh-CN"/>
        </w:rPr>
        <w:t>：</w:t>
      </w:r>
      <w:r>
        <w:rPr>
          <w:rFonts w:hint="eastAsia" w:ascii="宋体" w:hAnsi="宋体" w:cs="宋体"/>
          <w:b w:val="0"/>
          <w:bCs w:val="0"/>
          <w:sz w:val="24"/>
          <w:szCs w:val="24"/>
          <w:highlight w:val="none"/>
        </w:rPr>
        <w:t>≤±0.</w:t>
      </w:r>
      <w:r>
        <w:rPr>
          <w:rFonts w:hint="eastAsia" w:ascii="宋体" w:hAnsi="宋体" w:cs="宋体"/>
          <w:b w:val="0"/>
          <w:bCs w:val="0"/>
          <w:sz w:val="24"/>
          <w:szCs w:val="24"/>
          <w:highlight w:val="none"/>
          <w:lang w:val="en-US" w:eastAsia="zh-CN"/>
        </w:rPr>
        <w:t>1</w:t>
      </w:r>
      <w:r>
        <w:rPr>
          <w:rFonts w:hint="eastAsia" w:ascii="宋体" w:hAnsi="宋体" w:cs="宋体"/>
          <w:b w:val="0"/>
          <w:bCs w:val="0"/>
          <w:sz w:val="24"/>
          <w:szCs w:val="24"/>
          <w:highlight w:val="none"/>
        </w:rPr>
        <w:t>°</w:t>
      </w:r>
    </w:p>
    <w:p w14:paraId="4C67D0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cs="宋体"/>
          <w:b w:val="0"/>
          <w:bCs w:val="0"/>
          <w:sz w:val="24"/>
          <w:szCs w:val="24"/>
          <w:highlight w:val="none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highlight w:val="none"/>
        </w:rPr>
        <w:t>4</w:t>
      </w:r>
      <w:r>
        <w:rPr>
          <w:rFonts w:hint="eastAsia" w:ascii="宋体" w:hAnsi="宋体" w:cs="宋体"/>
          <w:b w:val="0"/>
          <w:bCs w:val="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cs="宋体"/>
          <w:b w:val="0"/>
          <w:bCs w:val="0"/>
          <w:sz w:val="24"/>
          <w:szCs w:val="24"/>
          <w:highlight w:val="none"/>
        </w:rPr>
        <w:t>旋转速度</w:t>
      </w:r>
      <w:r>
        <w:rPr>
          <w:rFonts w:hint="eastAsia" w:ascii="宋体" w:hAnsi="宋体" w:cs="宋体"/>
          <w:b w:val="0"/>
          <w:bCs w:val="0"/>
          <w:sz w:val="24"/>
          <w:szCs w:val="24"/>
          <w:highlight w:val="none"/>
          <w:lang w:eastAsia="zh-CN"/>
        </w:rPr>
        <w:t>：</w:t>
      </w:r>
      <w:r>
        <w:rPr>
          <w:rFonts w:hint="eastAsia" w:ascii="宋体" w:hAnsi="宋体" w:cs="宋体"/>
          <w:b w:val="0"/>
          <w:bCs w:val="0"/>
          <w:sz w:val="24"/>
          <w:szCs w:val="24"/>
          <w:highlight w:val="none"/>
        </w:rPr>
        <w:t>≥ 28°/s</w:t>
      </w:r>
    </w:p>
    <w:p w14:paraId="20C36E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highlight w:val="green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highlight w:val="none"/>
          <w:lang w:val="en-US" w:eastAsia="zh-CN"/>
        </w:rPr>
        <w:t>5</w:t>
      </w:r>
      <w:r>
        <w:rPr>
          <w:rFonts w:hint="eastAsia" w:ascii="宋体" w:hAnsi="宋体" w:cs="宋体"/>
          <w:b w:val="0"/>
          <w:bCs w:val="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cs="宋体"/>
          <w:b w:val="0"/>
          <w:bCs w:val="0"/>
          <w:sz w:val="24"/>
          <w:szCs w:val="24"/>
          <w:highlight w:val="none"/>
        </w:rPr>
        <w:t>旋转方向</w:t>
      </w:r>
      <w:r>
        <w:rPr>
          <w:rFonts w:hint="eastAsia" w:ascii="宋体" w:hAnsi="宋体" w:cs="宋体"/>
          <w:b w:val="0"/>
          <w:bCs w:val="0"/>
          <w:sz w:val="24"/>
          <w:szCs w:val="24"/>
          <w:highlight w:val="none"/>
          <w:lang w:eastAsia="zh-CN"/>
        </w:rPr>
        <w:t>：</w:t>
      </w:r>
      <w:r>
        <w:rPr>
          <w:rFonts w:hint="eastAsia" w:ascii="宋体" w:hAnsi="宋体" w:cs="宋体"/>
          <w:b w:val="0"/>
          <w:bCs w:val="0"/>
          <w:sz w:val="24"/>
          <w:szCs w:val="24"/>
          <w:highlight w:val="none"/>
          <w:lang w:val="en-US" w:eastAsia="zh-CN"/>
        </w:rPr>
        <w:t>可向</w:t>
      </w:r>
      <w:r>
        <w:rPr>
          <w:rFonts w:hint="eastAsia" w:ascii="宋体" w:hAnsi="宋体" w:cs="宋体"/>
          <w:b w:val="0"/>
          <w:bCs w:val="0"/>
          <w:sz w:val="24"/>
          <w:szCs w:val="24"/>
          <w:highlight w:val="none"/>
        </w:rPr>
        <w:t>任一方向旋转</w:t>
      </w:r>
    </w:p>
    <w:p w14:paraId="23DB2F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cs="宋体"/>
          <w:b w:val="0"/>
          <w:bCs w:val="0"/>
          <w:sz w:val="24"/>
          <w:szCs w:val="24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6</w:t>
      </w:r>
      <w:r>
        <w:rPr>
          <w:rFonts w:hint="eastAsia" w:ascii="宋体" w:hAnsi="宋体" w:cs="宋体"/>
          <w:b w:val="0"/>
          <w:bCs w:val="0"/>
          <w:sz w:val="24"/>
          <w:szCs w:val="24"/>
          <w:lang w:eastAsia="zh-CN"/>
        </w:rPr>
        <w:t>、</w:t>
      </w:r>
      <w:r>
        <w:rPr>
          <w:rFonts w:hint="eastAsia" w:ascii="宋体" w:hAnsi="宋体" w:cs="宋体"/>
          <w:b w:val="0"/>
          <w:bCs w:val="0"/>
          <w:sz w:val="24"/>
          <w:szCs w:val="24"/>
        </w:rPr>
        <w:t>材质: 聚苯乙烯</w:t>
      </w:r>
    </w:p>
    <w:p w14:paraId="7A8278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cs="宋体"/>
          <w:b w:val="0"/>
          <w:bCs w:val="0"/>
          <w:sz w:val="24"/>
          <w:szCs w:val="24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7</w:t>
      </w:r>
      <w:r>
        <w:rPr>
          <w:rFonts w:hint="eastAsia" w:ascii="宋体" w:hAnsi="宋体" w:cs="宋体"/>
          <w:b w:val="0"/>
          <w:bCs w:val="0"/>
          <w:sz w:val="24"/>
          <w:szCs w:val="24"/>
          <w:lang w:eastAsia="zh-CN"/>
        </w:rPr>
        <w:t>、</w:t>
      </w:r>
      <w:r>
        <w:rPr>
          <w:rFonts w:hint="eastAsia" w:ascii="宋体" w:hAnsi="宋体" w:cs="宋体"/>
          <w:b w:val="0"/>
          <w:bCs w:val="0"/>
          <w:sz w:val="24"/>
          <w:szCs w:val="24"/>
        </w:rPr>
        <w:t>配置清单</w:t>
      </w:r>
      <w:r>
        <w:rPr>
          <w:rFonts w:hint="eastAsia" w:ascii="宋体" w:hAnsi="宋体" w:cs="宋体"/>
          <w:b w:val="0"/>
          <w:bCs w:val="0"/>
          <w:sz w:val="24"/>
          <w:szCs w:val="24"/>
          <w:lang w:eastAsia="zh-CN"/>
        </w:rPr>
        <w:t>：</w:t>
      </w:r>
      <w:r>
        <w:rPr>
          <w:rFonts w:hint="eastAsia" w:ascii="宋体" w:hAnsi="宋体" w:cs="宋体"/>
          <w:b w:val="0"/>
          <w:bCs w:val="0"/>
          <w:sz w:val="24"/>
          <w:szCs w:val="24"/>
        </w:rPr>
        <w:t>圆柱形模体 1套</w:t>
      </w:r>
    </w:p>
    <w:p w14:paraId="4AF47D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680" w:firstLineChars="700"/>
        <w:textAlignment w:val="auto"/>
        <w:rPr>
          <w:rFonts w:hint="eastAsia" w:ascii="宋体" w:hAnsi="宋体" w:cs="宋体"/>
          <w:b w:val="0"/>
          <w:bCs w:val="0"/>
          <w:sz w:val="24"/>
          <w:szCs w:val="24"/>
        </w:rPr>
      </w:pPr>
      <w:r>
        <w:rPr>
          <w:rFonts w:hint="eastAsia" w:ascii="宋体" w:hAnsi="宋体" w:cs="宋体"/>
          <w:b w:val="0"/>
          <w:bCs w:val="0"/>
          <w:sz w:val="24"/>
          <w:szCs w:val="24"/>
        </w:rPr>
        <w:t>控制单元1台</w:t>
      </w:r>
    </w:p>
    <w:p w14:paraId="463363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680" w:firstLineChars="700"/>
        <w:textAlignment w:val="auto"/>
        <w:rPr>
          <w:rFonts w:hint="eastAsia" w:ascii="宋体" w:hAnsi="宋体" w:cs="宋体"/>
          <w:b w:val="0"/>
          <w:bCs w:val="0"/>
          <w:sz w:val="24"/>
          <w:szCs w:val="24"/>
        </w:rPr>
      </w:pPr>
      <w:r>
        <w:rPr>
          <w:rFonts w:hint="eastAsia" w:ascii="宋体" w:hAnsi="宋体" w:cs="宋体"/>
          <w:b w:val="0"/>
          <w:bCs w:val="0"/>
          <w:sz w:val="24"/>
          <w:szCs w:val="24"/>
        </w:rPr>
        <w:t>倾角仪</w:t>
      </w:r>
      <w:r>
        <w:rPr>
          <w:rFonts w:hint="eastAsia" w:ascii="宋体" w:hAnsi="宋体" w:cs="宋体"/>
          <w:b w:val="0"/>
          <w:bCs w:val="0"/>
          <w:sz w:val="24"/>
          <w:szCs w:val="24"/>
        </w:rPr>
        <w:tab/>
      </w:r>
      <w:r>
        <w:rPr>
          <w:rFonts w:hint="eastAsia" w:ascii="宋体" w:hAnsi="宋体" w:cs="宋体"/>
          <w:b w:val="0"/>
          <w:bCs w:val="0"/>
          <w:sz w:val="24"/>
          <w:szCs w:val="24"/>
        </w:rPr>
        <w:t>1个</w:t>
      </w:r>
    </w:p>
    <w:p w14:paraId="74E517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680" w:firstLineChars="700"/>
        <w:textAlignment w:val="auto"/>
        <w:rPr>
          <w:rFonts w:hint="eastAsia" w:ascii="宋体" w:hAnsi="宋体" w:cs="宋体"/>
          <w:b w:val="0"/>
          <w:bCs w:val="0"/>
          <w:sz w:val="24"/>
          <w:szCs w:val="24"/>
        </w:rPr>
      </w:pPr>
      <w:r>
        <w:rPr>
          <w:rFonts w:hint="eastAsia" w:ascii="宋体" w:hAnsi="宋体" w:cs="宋体"/>
          <w:b w:val="0"/>
          <w:bCs w:val="0"/>
          <w:sz w:val="24"/>
          <w:szCs w:val="24"/>
        </w:rPr>
        <w:t>控制线</w:t>
      </w:r>
      <w:r>
        <w:rPr>
          <w:rFonts w:hint="eastAsia" w:ascii="宋体" w:hAnsi="宋体" w:cs="宋体"/>
          <w:b w:val="0"/>
          <w:bCs w:val="0"/>
          <w:sz w:val="24"/>
          <w:szCs w:val="24"/>
        </w:rPr>
        <w:tab/>
      </w:r>
      <w:r>
        <w:rPr>
          <w:rFonts w:hint="eastAsia" w:ascii="宋体" w:hAnsi="宋体" w:cs="宋体"/>
          <w:b w:val="0"/>
          <w:bCs w:val="0"/>
          <w:sz w:val="24"/>
          <w:szCs w:val="24"/>
        </w:rPr>
        <w:t>1根</w:t>
      </w:r>
    </w:p>
    <w:p w14:paraId="3A452A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680" w:firstLineChars="700"/>
        <w:textAlignment w:val="auto"/>
        <w:rPr>
          <w:rFonts w:hint="eastAsia" w:ascii="宋体" w:hAnsi="宋体" w:cs="宋体"/>
          <w:b w:val="0"/>
          <w:bCs w:val="0"/>
          <w:sz w:val="24"/>
          <w:szCs w:val="24"/>
        </w:rPr>
      </w:pPr>
      <w:r>
        <w:rPr>
          <w:rFonts w:hint="eastAsia" w:ascii="宋体" w:hAnsi="宋体" w:cs="宋体"/>
          <w:b w:val="0"/>
          <w:bCs w:val="0"/>
          <w:sz w:val="24"/>
          <w:szCs w:val="24"/>
        </w:rPr>
        <w:t>标准顶盖1个</w:t>
      </w:r>
    </w:p>
    <w:p w14:paraId="5097D4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680" w:firstLineChars="700"/>
        <w:textAlignment w:val="auto"/>
        <w:rPr>
          <w:rFonts w:hint="eastAsia" w:ascii="宋体" w:hAnsi="宋体" w:cs="宋体"/>
          <w:b w:val="0"/>
          <w:bCs w:val="0"/>
          <w:sz w:val="24"/>
          <w:szCs w:val="24"/>
        </w:rPr>
      </w:pPr>
      <w:r>
        <w:rPr>
          <w:rFonts w:hint="eastAsia" w:ascii="宋体" w:hAnsi="宋体" w:cs="宋体"/>
          <w:b w:val="0"/>
          <w:bCs w:val="0"/>
          <w:sz w:val="24"/>
          <w:szCs w:val="24"/>
        </w:rPr>
        <w:t>运输车</w:t>
      </w:r>
      <w:r>
        <w:rPr>
          <w:rFonts w:hint="eastAsia" w:ascii="宋体" w:hAnsi="宋体" w:cs="宋体"/>
          <w:b w:val="0"/>
          <w:bCs w:val="0"/>
          <w:sz w:val="24"/>
          <w:szCs w:val="24"/>
        </w:rPr>
        <w:tab/>
      </w:r>
      <w:r>
        <w:rPr>
          <w:rFonts w:hint="eastAsia" w:ascii="宋体" w:hAnsi="宋体" w:cs="宋体"/>
          <w:b w:val="0"/>
          <w:bCs w:val="0"/>
          <w:sz w:val="24"/>
          <w:szCs w:val="24"/>
        </w:rPr>
        <w:t>1台</w:t>
      </w:r>
    </w:p>
    <w:p w14:paraId="73F9CD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firstLine="3373" w:firstLineChars="1200"/>
        <w:jc w:val="both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  <w:t>投标人条件</w:t>
      </w:r>
      <w:bookmarkStart w:id="0" w:name="_GoBack"/>
      <w:bookmarkEnd w:id="0"/>
    </w:p>
    <w:p w14:paraId="13C99C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t>1.投标人必须具有销售、安装、维修保养能力。</w:t>
      </w:r>
    </w:p>
    <w:p w14:paraId="5FDCDE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t>2.投标人必须为合格设备制造商及其合法授权的代理商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。</w:t>
      </w:r>
    </w:p>
    <w:p w14:paraId="7E815B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.</w:t>
      </w:r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t>产品质量保证规范符合中华人民共和国国家相关标准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。</w:t>
      </w:r>
    </w:p>
    <w:p w14:paraId="1B537D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4.</w:t>
      </w:r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t>投标人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应按照医院要求将设备接入医院信息系统，接入系统产生的所有费用由</w:t>
      </w:r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t>投标人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承担。</w:t>
      </w:r>
    </w:p>
    <w:p w14:paraId="747995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5</w:t>
      </w:r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t>.付款方式:</w:t>
      </w:r>
      <w:r>
        <w:rPr>
          <w:rFonts w:hint="eastAsia" w:ascii="宋体" w:hAnsi="宋体" w:eastAsia="宋体" w:cs="宋体"/>
          <w:sz w:val="24"/>
        </w:rPr>
        <w:t>安装验收调试合格</w:t>
      </w:r>
      <w:r>
        <w:rPr>
          <w:rFonts w:hint="eastAsia" w:ascii="宋体" w:hAnsi="宋体" w:eastAsia="宋体" w:cs="宋体"/>
          <w:sz w:val="24"/>
          <w:lang w:eastAsia="zh-CN"/>
        </w:rPr>
        <w:t>，</w:t>
      </w:r>
      <w:r>
        <w:rPr>
          <w:rFonts w:hint="eastAsia" w:ascii="宋体" w:hAnsi="宋体" w:eastAsia="宋体" w:cs="宋体"/>
          <w:sz w:val="24"/>
        </w:rPr>
        <w:t>正常运行后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，手续齐全的情况下60日付款。</w:t>
      </w:r>
    </w:p>
    <w:p w14:paraId="0BB6F7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rPr>
          <w:rFonts w:hint="eastAsia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6</w:t>
      </w:r>
      <w:r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.设备整机质保期为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三</w:t>
      </w:r>
      <w:r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年，质保范围包括主机、所有配件及消耗性材料，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设备出现故障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小时内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响应，24小时内到达医院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现场维修该设备</w:t>
      </w:r>
      <w:r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。如保修期内中标单位未按时履行维修义务，按总价的百分之五，向医院支付违约金，造成医院损失，中标单位另行赔偿。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M4NzQ4ODU0Mzg2ZTY0NTAyODkzZDhmZTQ3ZDQxYTYifQ=="/>
  </w:docVars>
  <w:rsids>
    <w:rsidRoot w:val="26A53D5A"/>
    <w:rsid w:val="06C17F92"/>
    <w:rsid w:val="07AB093E"/>
    <w:rsid w:val="09813D1B"/>
    <w:rsid w:val="0D8C1D90"/>
    <w:rsid w:val="12667498"/>
    <w:rsid w:val="189B5F25"/>
    <w:rsid w:val="22690B02"/>
    <w:rsid w:val="239E4A4B"/>
    <w:rsid w:val="23D11554"/>
    <w:rsid w:val="26A53D5A"/>
    <w:rsid w:val="38B356D7"/>
    <w:rsid w:val="3A86508D"/>
    <w:rsid w:val="427A734A"/>
    <w:rsid w:val="46A51CD1"/>
    <w:rsid w:val="4F766114"/>
    <w:rsid w:val="52614FFF"/>
    <w:rsid w:val="564D66AA"/>
    <w:rsid w:val="566870DF"/>
    <w:rsid w:val="606105A0"/>
    <w:rsid w:val="646C540D"/>
    <w:rsid w:val="6A7F521B"/>
    <w:rsid w:val="6F0A22F1"/>
    <w:rsid w:val="6F615335"/>
    <w:rsid w:val="7D056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unhideWhenUsed="0" w:uiPriority="99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nhideWhenUsed="0" w:uiPriority="0" w:name="Default Paragraph Font"/>
    <w:lsdException w:unhideWhenUsed="0" w:uiPriority="99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unhideWhenUsed="0" w:uiPriority="99" w:semiHidden="0" w:name="Hyperlink"/>
    <w:lsdException w:unhideWhenUsed="0" w:uiPriority="99" w:semiHidden="0" w:name="FollowedHyperlink"/>
    <w:lsdException w:unhideWhenUsed="0" w:uiPriority="99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qFormat="1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nhideWhenUsed="0" w:uiPriority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unhideWhenUsed="0" w:uiPriority="9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 rotWithShape="0"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 rotWithShape="0"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536</Words>
  <Characters>555</Characters>
  <Lines>0</Lines>
  <Paragraphs>0</Paragraphs>
  <TotalTime>68</TotalTime>
  <ScaleCrop>false</ScaleCrop>
  <LinksUpToDate>false</LinksUpToDate>
  <CharactersWithSpaces>563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2024-01-08T01:47:00Z</dcterms:created>
  <dc:creator>WPS_1693815064</dc:creator>
  <cp:lastModifiedBy>陶乐</cp:lastModifiedBy>
  <dcterms:modified xsi:type="dcterms:W3CDTF">2026-09-08T06:33:53Z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59A12549C79C44F99F3606705330EBFD_13</vt:lpwstr>
  </property>
  <property fmtid="{D5CDD505-2E9C-101B-9397-08002B2CF9AE}" pid="4" name="KSOTemplateDocerSaveRecord">
    <vt:lpwstr>eyJoZGlkIjoiNzgzOGJmNGU2MGRlMDIzMDcxN2UxZTFmMzdkOWZlODEiLCJ1c2VySWQiOiIyNDU4MjU1MzcifQ==</vt:lpwstr>
  </property>
</Properties>
</file>