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F8F80">
      <w:pPr>
        <w:jc w:val="center"/>
        <w:rPr>
          <w:rFonts w:hint="default"/>
          <w:b/>
          <w:bCs/>
          <w:sz w:val="32"/>
          <w:szCs w:val="32"/>
          <w:lang w:val="en-US" w:eastAsia="zh-CN"/>
        </w:rPr>
      </w:pPr>
      <w:r>
        <w:rPr>
          <w:rFonts w:hint="eastAsia" w:ascii="方正仿宋_GBK" w:hAnsi="方正仿宋_GBK" w:eastAsia="方正仿宋_GBK" w:cs="方正仿宋_GBK"/>
          <w:b/>
          <w:bCs/>
          <w:color w:val="auto"/>
          <w:sz w:val="32"/>
          <w:szCs w:val="32"/>
          <w:highlight w:val="none"/>
          <w:shd w:val="clear" w:color="auto" w:fill="auto"/>
          <w:vertAlign w:val="baseline"/>
          <w:lang w:val="en-US" w:eastAsia="zh-CN"/>
        </w:rPr>
        <w:t>高低压配电室运维及高压电缆运维检测服务采购需求参数</w:t>
      </w:r>
    </w:p>
    <w:p w14:paraId="31783EAE">
      <w:pPr>
        <w:pStyle w:val="2"/>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sz w:val="24"/>
          <w:szCs w:val="24"/>
          <w:lang w:val="en-US" w:eastAsia="zh-CN"/>
        </w:rPr>
        <w:t>1.服务范围：</w:t>
      </w:r>
      <w:bookmarkStart w:id="0" w:name="_GoBack"/>
      <w:bookmarkEnd w:id="0"/>
    </w:p>
    <w:p w14:paraId="684E8C0D">
      <w:pPr>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本项目变压器总容量：11250千伏安，服务范围如下：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4233"/>
        <w:gridCol w:w="1445"/>
        <w:gridCol w:w="1482"/>
        <w:gridCol w:w="1409"/>
      </w:tblGrid>
      <w:tr w14:paraId="7365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tcPr>
          <w:p w14:paraId="5E710DF0">
            <w:pPr>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序号</w:t>
            </w:r>
          </w:p>
        </w:tc>
        <w:tc>
          <w:tcPr>
            <w:tcW w:w="4233" w:type="dxa"/>
          </w:tcPr>
          <w:p w14:paraId="036FBDE7">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设备材料名称</w:t>
            </w:r>
          </w:p>
        </w:tc>
        <w:tc>
          <w:tcPr>
            <w:tcW w:w="1445" w:type="dxa"/>
          </w:tcPr>
          <w:p w14:paraId="2C416052">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规格型号</w:t>
            </w:r>
          </w:p>
        </w:tc>
        <w:tc>
          <w:tcPr>
            <w:tcW w:w="1482" w:type="dxa"/>
          </w:tcPr>
          <w:p w14:paraId="2D694D2D">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单位</w:t>
            </w:r>
          </w:p>
        </w:tc>
        <w:tc>
          <w:tcPr>
            <w:tcW w:w="1409" w:type="dxa"/>
          </w:tcPr>
          <w:p w14:paraId="6864EC6A">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数量</w:t>
            </w:r>
          </w:p>
        </w:tc>
      </w:tr>
      <w:tr w14:paraId="6B40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tcPr>
          <w:p w14:paraId="6CD4D1D0">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4233" w:type="dxa"/>
          </w:tcPr>
          <w:p w14:paraId="2CE62BAB">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变压器</w:t>
            </w:r>
          </w:p>
        </w:tc>
        <w:tc>
          <w:tcPr>
            <w:tcW w:w="1445" w:type="dxa"/>
          </w:tcPr>
          <w:p w14:paraId="63699D0F">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1250KVA</w:t>
            </w:r>
          </w:p>
        </w:tc>
        <w:tc>
          <w:tcPr>
            <w:tcW w:w="1482" w:type="dxa"/>
          </w:tcPr>
          <w:p w14:paraId="5D4D7D1D">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台</w:t>
            </w:r>
          </w:p>
        </w:tc>
        <w:tc>
          <w:tcPr>
            <w:tcW w:w="1409" w:type="dxa"/>
          </w:tcPr>
          <w:p w14:paraId="17B9A3CE">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w:t>
            </w:r>
          </w:p>
        </w:tc>
      </w:tr>
      <w:tr w14:paraId="6EED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tcPr>
          <w:p w14:paraId="38052AD2">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4233" w:type="dxa"/>
          </w:tcPr>
          <w:p w14:paraId="4D4519A2">
            <w:pPr>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高压电缆</w:t>
            </w:r>
          </w:p>
        </w:tc>
        <w:tc>
          <w:tcPr>
            <w:tcW w:w="1445" w:type="dxa"/>
          </w:tcPr>
          <w:p w14:paraId="7BEEAAA7">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c>
          <w:tcPr>
            <w:tcW w:w="1482" w:type="dxa"/>
          </w:tcPr>
          <w:p w14:paraId="7F6674C0">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根</w:t>
            </w:r>
          </w:p>
        </w:tc>
        <w:tc>
          <w:tcPr>
            <w:tcW w:w="1409" w:type="dxa"/>
          </w:tcPr>
          <w:p w14:paraId="5A0E7250">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r>
      <w:tr w14:paraId="7B61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tcPr>
          <w:p w14:paraId="62C8A4D6">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4233" w:type="dxa"/>
          </w:tcPr>
          <w:p w14:paraId="499918DA">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高压开关柜</w:t>
            </w:r>
          </w:p>
        </w:tc>
        <w:tc>
          <w:tcPr>
            <w:tcW w:w="1445" w:type="dxa"/>
          </w:tcPr>
          <w:p w14:paraId="2449B1BA">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c>
          <w:tcPr>
            <w:tcW w:w="1482" w:type="dxa"/>
          </w:tcPr>
          <w:p w14:paraId="6E40EE40">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个</w:t>
            </w:r>
          </w:p>
        </w:tc>
        <w:tc>
          <w:tcPr>
            <w:tcW w:w="1409" w:type="dxa"/>
          </w:tcPr>
          <w:p w14:paraId="6033C5A2">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r>
      <w:tr w14:paraId="4368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tcPr>
          <w:p w14:paraId="1D6C8BE7">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4233" w:type="dxa"/>
          </w:tcPr>
          <w:p w14:paraId="18082168">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绝缘安全工器具-绝缘手套</w:t>
            </w:r>
          </w:p>
        </w:tc>
        <w:tc>
          <w:tcPr>
            <w:tcW w:w="1445" w:type="dxa"/>
          </w:tcPr>
          <w:p w14:paraId="62923850">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c>
          <w:tcPr>
            <w:tcW w:w="1482" w:type="dxa"/>
          </w:tcPr>
          <w:p w14:paraId="5B30CEC4">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09" w:type="dxa"/>
          </w:tcPr>
          <w:p w14:paraId="6F2617DD">
            <w:pPr>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r>
    </w:tbl>
    <w:p w14:paraId="62A48BF2">
      <w:pPr>
        <w:pageBreakBefore w:val="0"/>
        <w:widowControl w:val="0"/>
        <w:kinsoku/>
        <w:wordWrap/>
        <w:overflowPunct/>
        <w:topLinePunct w:val="0"/>
        <w:autoSpaceDE/>
        <w:autoSpaceDN/>
        <w:bidi w:val="0"/>
        <w:adjustRightInd/>
        <w:snapToGrid/>
        <w:spacing w:line="440" w:lineRule="exact"/>
        <w:textAlignment w:val="auto"/>
        <w:rPr>
          <w:rFonts w:hint="eastAsia"/>
          <w:sz w:val="24"/>
          <w:szCs w:val="24"/>
          <w:lang w:val="en-US" w:eastAsia="zh-CN"/>
        </w:rPr>
      </w:pPr>
    </w:p>
    <w:p w14:paraId="7A3B956A">
      <w:pPr>
        <w:pStyle w:val="2"/>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sz w:val="24"/>
          <w:szCs w:val="24"/>
          <w:lang w:val="en-US" w:eastAsia="zh-CN"/>
        </w:rPr>
        <w:t>2.服务内容：</w:t>
      </w:r>
    </w:p>
    <w:p w14:paraId="62DD74DC">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乙方依托其专业运维团队，向甲方提供服务范围内的下列服务</w:t>
      </w:r>
      <w:r>
        <w:rPr>
          <w:rFonts w:hint="eastAsia" w:ascii="宋体" w:hAnsi="宋体" w:eastAsia="宋体" w:cs="宋体"/>
          <w:b w:val="0"/>
          <w:bCs w:val="0"/>
          <w:kern w:val="2"/>
          <w:sz w:val="24"/>
          <w:szCs w:val="24"/>
          <w:vertAlign w:val="baseline"/>
          <w:lang w:val="en-US" w:eastAsia="zh-CN" w:bidi="ar-SA"/>
        </w:rPr>
        <w:t>：</w:t>
      </w:r>
    </w:p>
    <w:p w14:paraId="5D76A309">
      <w:pPr>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、预防性试验:乙方根据行业规范要求定期对服务范围内指定设备(1250KVA箱变九台，高压电缆二根，高压开关柜20个）开展年度预防性试验一次。</w:t>
      </w:r>
    </w:p>
    <w:p w14:paraId="5E975B61">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（2）、定期巡检:乙方每季度对服务范围内设备开展定期巡检1次，乙方在巡视发现故障或潜在故障后，及时报甲方联系人，及时制定有效可行的处理方案。</w:t>
      </w:r>
    </w:p>
    <w:p w14:paraId="0FA5D20A">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3）、临时性运维服务(选择基础运维、智能运维套餐提供此项服务):乙方提供24小时免费故障查找服务。对于事故抢修、故障及缺陷消除等，甲乙双方遵循平等、自愿、公平、诚信的原则进行协商并签订补充合同，甲方委托乙方提供上述临时性运维服务，实施过程中发生的设备材料由甲方自行或委托采购，对应的人工费用另算，由甲方承担，施工费及带电作业费按施工定额预算的八折计算。</w:t>
      </w:r>
    </w:p>
    <w:p w14:paraId="44CACBB3">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（4）、乙方向甲方提供电力技术咨询服务及7*24小时电力服务热线电话服务。故障抢修抵达时间保证在30分钟内。</w:t>
      </w:r>
    </w:p>
    <w:p w14:paraId="780EAAB2">
      <w:pPr>
        <w:pStyle w:val="2"/>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（5）、其他运维检测范围内（</w:t>
      </w:r>
      <w:r>
        <w:rPr>
          <w:rFonts w:hint="eastAsia" w:ascii="宋体" w:hAnsi="宋体" w:eastAsia="宋体" w:cs="宋体"/>
          <w:b/>
          <w:bCs/>
          <w:kern w:val="2"/>
          <w:sz w:val="24"/>
          <w:szCs w:val="24"/>
          <w:vertAlign w:val="baseline"/>
          <w:lang w:val="en-US" w:eastAsia="zh-CN" w:bidi="ar-SA"/>
        </w:rPr>
        <w:t>高低压配电室所有设备和马医一线、二线高压电力缆</w:t>
      </w:r>
      <w:r>
        <w:rPr>
          <w:rFonts w:hint="eastAsia" w:ascii="宋体" w:hAnsi="宋体" w:eastAsia="宋体" w:cs="宋体"/>
          <w:b w:val="0"/>
          <w:bCs w:val="0"/>
          <w:kern w:val="2"/>
          <w:sz w:val="24"/>
          <w:szCs w:val="24"/>
          <w:vertAlign w:val="baseline"/>
          <w:lang w:val="en-US" w:eastAsia="zh-CN" w:bidi="ar-SA"/>
        </w:rPr>
        <w:t>）的电缆低值绝缘缺陷处置、专变用户设备代运维、配电站房运维、工程项目电气调试等业务，并为客户提供相关配电巡检、预防性试验、故障抢修一体化电力等运维解决方案。</w:t>
      </w:r>
    </w:p>
    <w:p w14:paraId="6A04C3D6">
      <w:pPr>
        <w:pStyle w:val="2"/>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sz w:val="24"/>
          <w:szCs w:val="24"/>
          <w:lang w:val="en-US" w:eastAsia="zh-CN"/>
        </w:rPr>
      </w:pPr>
      <w:r>
        <w:rPr>
          <w:rFonts w:hint="eastAsia"/>
          <w:sz w:val="24"/>
          <w:szCs w:val="24"/>
          <w:lang w:val="en-US" w:eastAsia="zh-CN"/>
        </w:rPr>
        <w:t>其他要求：</w:t>
      </w:r>
    </w:p>
    <w:p w14:paraId="336EC5B8">
      <w:pPr>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w:t>
      </w:r>
      <w:r>
        <w:rPr>
          <w:rFonts w:hint="eastAsia" w:ascii="宋体" w:hAnsi="宋体" w:eastAsia="宋体" w:cs="宋体"/>
          <w:b/>
          <w:bCs/>
          <w:kern w:val="2"/>
          <w:sz w:val="24"/>
          <w:szCs w:val="24"/>
          <w:vertAlign w:val="baseline"/>
          <w:lang w:val="en-US" w:eastAsia="zh-CN" w:bidi="ar-SA"/>
        </w:rPr>
        <w:t>★★★因运维检测等实际工作需求，</w:t>
      </w:r>
      <w:r>
        <w:rPr>
          <w:rFonts w:hint="default" w:ascii="宋体" w:hAnsi="宋体" w:eastAsia="宋体" w:cs="宋体"/>
          <w:b/>
          <w:bCs/>
          <w:kern w:val="2"/>
          <w:sz w:val="24"/>
          <w:szCs w:val="24"/>
          <w:vertAlign w:val="baseline"/>
          <w:lang w:val="en-US" w:eastAsia="zh-CN" w:bidi="ar-SA"/>
        </w:rPr>
        <w:t>乙方应</w:t>
      </w:r>
      <w:r>
        <w:rPr>
          <w:rFonts w:hint="eastAsia" w:ascii="宋体" w:hAnsi="宋体" w:eastAsia="宋体" w:cs="宋体"/>
          <w:b/>
          <w:bCs/>
          <w:kern w:val="2"/>
          <w:sz w:val="24"/>
          <w:szCs w:val="24"/>
          <w:vertAlign w:val="baseline"/>
          <w:lang w:val="en-US" w:eastAsia="zh-CN" w:bidi="ar-SA"/>
        </w:rPr>
        <w:t>满足保证进入大足区人民医院所对应的变电站（马家坡变电站）站内操作的相关资质要求且保证能进入相关站点内进行实际运维检测工作。</w:t>
      </w:r>
    </w:p>
    <w:p w14:paraId="41A0F315">
      <w:pPr>
        <w:pStyle w:val="2"/>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(2)、</w:t>
      </w:r>
      <w:r>
        <w:rPr>
          <w:rFonts w:hint="default" w:ascii="宋体" w:hAnsi="宋体" w:eastAsia="宋体" w:cs="宋体"/>
          <w:b w:val="0"/>
          <w:bCs w:val="0"/>
          <w:kern w:val="2"/>
          <w:sz w:val="24"/>
          <w:szCs w:val="24"/>
          <w:vertAlign w:val="baseline"/>
          <w:lang w:val="en-US" w:eastAsia="zh-CN" w:bidi="ar-SA"/>
        </w:rPr>
        <w:t>乙方应</w:t>
      </w:r>
      <w:r>
        <w:rPr>
          <w:rFonts w:hint="eastAsia" w:ascii="宋体" w:hAnsi="宋体" w:eastAsia="宋体" w:cs="宋体"/>
          <w:b w:val="0"/>
          <w:bCs w:val="0"/>
          <w:kern w:val="2"/>
          <w:sz w:val="24"/>
          <w:szCs w:val="24"/>
          <w:vertAlign w:val="baseline"/>
          <w:lang w:val="en-US" w:eastAsia="zh-CN" w:bidi="ar-SA"/>
        </w:rPr>
        <w:t>配备完整的10kV配电调试、电缆故障查找成套设备；配置35kV工频耐压试验装置，具备35kV基础试验能力，最大限度减少外部协作，保障项目质量与工期自主可控。</w:t>
      </w:r>
    </w:p>
    <w:p w14:paraId="1C7F15AB">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3</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工作人员应具有国家相关部门颁发的有效专业资质证件，并持证上岗。所有运维作业人员在服务前必须接受安全培训，并通过考核。乙方需为作业运维人员配备符合国家标准的个人防护装备，如绝缘手套、绝缘鞋、安全帽等，并确保作业人员在服务过程中正确使用。</w:t>
      </w:r>
    </w:p>
    <w:p w14:paraId="5F0E37B9">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4</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在运维过程中，乙方应设置明显的安全警示标志，防止无关人员进入服务区域。同时，乙方应确保运维现场的照明、通风、防火等安全设施完备。</w:t>
      </w:r>
    </w:p>
    <w:p w14:paraId="1B4766A5">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5</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乙方在甲方的设备场所开展工作时应自觉遵守电力安全工作规定和甲方的相关规章制度，如乙方违反电力安全规定、操作不当，造成人员伤亡和设备财产损失的，由乙方承担全部责任。</w:t>
      </w:r>
    </w:p>
    <w:p w14:paraId="30DF695A">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6</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乙方必须在约定时间内完成工作，如遇下列情况，经双方协商可顺延工期(可超出1.1条约定的服务期限)。</w:t>
      </w:r>
    </w:p>
    <w:p w14:paraId="6655CDE3">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Calibri" w:hAnsi="Calibri" w:eastAsia="宋体" w:cs="Calibri"/>
          <w:b w:val="0"/>
          <w:bCs w:val="0"/>
          <w:kern w:val="2"/>
          <w:sz w:val="24"/>
          <w:szCs w:val="24"/>
          <w:vertAlign w:val="baseline"/>
          <w:lang w:val="en-US" w:eastAsia="zh-CN" w:bidi="ar-SA"/>
        </w:rPr>
        <w:t>①</w:t>
      </w:r>
      <w:r>
        <w:rPr>
          <w:rFonts w:hint="default" w:ascii="宋体" w:hAnsi="宋体" w:eastAsia="宋体" w:cs="宋体"/>
          <w:b w:val="0"/>
          <w:bCs w:val="0"/>
          <w:kern w:val="2"/>
          <w:sz w:val="24"/>
          <w:szCs w:val="24"/>
          <w:vertAlign w:val="baseline"/>
          <w:lang w:val="en-US" w:eastAsia="zh-CN" w:bidi="ar-SA"/>
        </w:rPr>
        <w:t>由于不可抗拒因素而被迫停工的。</w:t>
      </w:r>
      <w:r>
        <w:rPr>
          <w:rFonts w:hint="default" w:ascii="Calibri" w:hAnsi="Calibri" w:eastAsia="宋体" w:cs="Calibri"/>
          <w:b w:val="0"/>
          <w:bCs w:val="0"/>
          <w:kern w:val="2"/>
          <w:sz w:val="24"/>
          <w:szCs w:val="24"/>
          <w:vertAlign w:val="baseline"/>
          <w:lang w:val="en-US" w:eastAsia="zh-CN" w:bidi="ar-SA"/>
        </w:rPr>
        <w:t>②</w:t>
      </w:r>
      <w:r>
        <w:rPr>
          <w:rFonts w:hint="default" w:ascii="宋体" w:hAnsi="宋体" w:eastAsia="宋体" w:cs="宋体"/>
          <w:b w:val="0"/>
          <w:bCs w:val="0"/>
          <w:kern w:val="2"/>
          <w:sz w:val="24"/>
          <w:szCs w:val="24"/>
          <w:vertAlign w:val="baseline"/>
          <w:lang w:val="en-US" w:eastAsia="zh-CN" w:bidi="ar-SA"/>
        </w:rPr>
        <w:t>经双方认可的其他情况。</w:t>
      </w:r>
    </w:p>
    <w:p w14:paraId="07353A90">
      <w:pPr>
        <w:pStyle w:val="2"/>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7</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乙方应对甲方提供的维护工具爱护使用，若在使用过程中因乙方原因导致损坏、丢失的，由乙方负责赔偿。</w:t>
      </w:r>
    </w:p>
    <w:p w14:paraId="6CD6C6B1">
      <w:pPr>
        <w:pStyle w:val="2"/>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8</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乙方应确保其提供的设备材料为合格产品，若使用不合格或伪劣产品，乙方应赔偿甲方因此产生的实际损失。</w:t>
      </w:r>
    </w:p>
    <w:p w14:paraId="5B908105">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9</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乙方运维过程中发现甲方设备材料存在或出现质量问题的应及时书面告知甲方，并指导甲方进行更换。因甲方拒不更换，该质量问题造成了损害的，乙方不承担赔偿责任。</w:t>
      </w:r>
    </w:p>
    <w:p w14:paraId="061EEA40">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10</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在运维过程中，乙方对因运维不当导致的安全事故负责，并承担由此产生的损失和责任。甲方有权对乙方的施工过程进行配合、监督和检查，确保运维质量和安全。</w:t>
      </w:r>
    </w:p>
    <w:p w14:paraId="7E464237">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11</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乙方应在完成预防性试验后10个工作日(不含节假日)内将报告报送甲方。</w:t>
      </w:r>
    </w:p>
    <w:p w14:paraId="014A49AE">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12</w:t>
      </w:r>
      <w:r>
        <w:rPr>
          <w:rFonts w:hint="default" w:ascii="宋体" w:hAnsi="宋体" w:eastAsia="宋体" w:cs="宋体"/>
          <w:b w:val="0"/>
          <w:bCs w:val="0"/>
          <w:kern w:val="2"/>
          <w:sz w:val="24"/>
          <w:szCs w:val="24"/>
          <w:vertAlign w:val="baseline"/>
          <w:lang w:val="en-US" w:eastAsia="zh-CN" w:bidi="ar-SA"/>
        </w:rPr>
        <w:t>)</w:t>
      </w:r>
      <w:r>
        <w:rPr>
          <w:rFonts w:hint="eastAsia" w:ascii="宋体" w:hAnsi="宋体" w:eastAsia="宋体" w:cs="宋体"/>
          <w:b w:val="0"/>
          <w:bCs w:val="0"/>
          <w:kern w:val="2"/>
          <w:sz w:val="24"/>
          <w:szCs w:val="24"/>
          <w:vertAlign w:val="baseline"/>
          <w:lang w:val="en-US" w:eastAsia="zh-CN" w:bidi="ar-SA"/>
        </w:rPr>
        <w:t>、</w:t>
      </w:r>
      <w:r>
        <w:rPr>
          <w:rFonts w:hint="default" w:ascii="宋体" w:hAnsi="宋体" w:eastAsia="宋体" w:cs="宋体"/>
          <w:b w:val="0"/>
          <w:bCs w:val="0"/>
          <w:kern w:val="2"/>
          <w:sz w:val="24"/>
          <w:szCs w:val="24"/>
          <w:vertAlign w:val="baseline"/>
          <w:lang w:val="en-US" w:eastAsia="zh-CN" w:bidi="ar-SA"/>
        </w:rPr>
        <w:t>乙方提供24小时电力故障报修服务的，在接到甲方服务范围设备故障通知后，迅速赶往现场进行处理及办理相关手续，及时恢复正常用电。特殊情况下(如遇狂风暴雨、雷电等自然因素，或需要更换主体设备、材料暂缺以及需大面积停电处理等)不可抗拒因素造成无法正常工作时，乙方应向甲方说明情况，并采取积极措施尽快恢复甲方的正常用电，并积极配合甲方查明故障原因。</w:t>
      </w:r>
    </w:p>
    <w:p w14:paraId="54C40438">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（13）、乙方负责将甲方绝缘安全工器具送专业检测单位完成试验并获取试验报告，之后将试验后的绝缘安全工器具及试验报告交予客户。</w:t>
      </w:r>
    </w:p>
    <w:p w14:paraId="1CD2CCF9">
      <w:pPr>
        <w:pStyle w:val="2"/>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2"/>
          <w:sz w:val="24"/>
          <w:szCs w:val="24"/>
          <w:vertAlign w:val="baseline"/>
          <w:lang w:val="en-US" w:eastAsia="zh-CN" w:bidi="ar-SA"/>
        </w:rPr>
      </w:pPr>
      <w:r>
        <w:rPr>
          <w:rFonts w:hint="eastAsia"/>
          <w:sz w:val="24"/>
          <w:szCs w:val="24"/>
          <w:lang w:val="en-US" w:eastAsia="zh-CN"/>
        </w:rPr>
        <w:t>4.付款方式：</w:t>
      </w:r>
    </w:p>
    <w:p w14:paraId="764D437A">
      <w:pPr>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vertAlign w:val="baseline"/>
          <w:lang w:val="en-US" w:eastAsia="zh-CN" w:bidi="ar-SA"/>
        </w:rPr>
        <w:t>合同生效后，乙方开具正式发票，甲方收到发票后向乙方支付50%运维款</w:t>
      </w:r>
      <w:r>
        <w:rPr>
          <w:rFonts w:hint="eastAsia" w:ascii="宋体" w:hAnsi="宋体" w:eastAsia="宋体" w:cs="宋体"/>
          <w:b w:val="0"/>
          <w:bCs w:val="0"/>
          <w:kern w:val="2"/>
          <w:sz w:val="24"/>
          <w:szCs w:val="24"/>
          <w:vertAlign w:val="baseline"/>
          <w:lang w:val="en-US" w:eastAsia="zh-CN" w:bidi="ar-SA"/>
        </w:rPr>
        <w:t>（最终中标金额50%）</w:t>
      </w:r>
      <w:r>
        <w:rPr>
          <w:rFonts w:hint="default" w:ascii="宋体" w:hAnsi="宋体" w:eastAsia="宋体" w:cs="宋体"/>
          <w:b w:val="0"/>
          <w:bCs w:val="0"/>
          <w:kern w:val="2"/>
          <w:sz w:val="24"/>
          <w:szCs w:val="24"/>
          <w:vertAlign w:val="baseline"/>
          <w:lang w:val="en-US" w:eastAsia="zh-CN" w:bidi="ar-SA"/>
        </w:rPr>
        <w:t>，乙方完成配电设备全性检测后，出具正式报告后乙方开具正式发票，甲方收到发票</w:t>
      </w:r>
      <w:r>
        <w:rPr>
          <w:rFonts w:hint="eastAsia" w:ascii="宋体" w:hAnsi="宋体" w:eastAsia="宋体" w:cs="宋体"/>
          <w:b w:val="0"/>
          <w:bCs w:val="0"/>
          <w:kern w:val="2"/>
          <w:sz w:val="24"/>
          <w:szCs w:val="24"/>
          <w:vertAlign w:val="baseline"/>
          <w:lang w:val="en-US" w:eastAsia="zh-CN" w:bidi="ar-SA"/>
        </w:rPr>
        <w:t>后</w:t>
      </w:r>
      <w:r>
        <w:rPr>
          <w:rFonts w:hint="default" w:ascii="宋体" w:hAnsi="宋体" w:eastAsia="宋体" w:cs="宋体"/>
          <w:b w:val="0"/>
          <w:bCs w:val="0"/>
          <w:kern w:val="2"/>
          <w:sz w:val="24"/>
          <w:szCs w:val="24"/>
          <w:vertAlign w:val="baseline"/>
          <w:lang w:val="en-US" w:eastAsia="zh-CN" w:bidi="ar-SA"/>
        </w:rPr>
        <w:t>向乙方支付剩余50%运维款</w:t>
      </w:r>
      <w:r>
        <w:rPr>
          <w:rFonts w:hint="eastAsia" w:ascii="宋体" w:hAnsi="宋体" w:eastAsia="宋体" w:cs="宋体"/>
          <w:b w:val="0"/>
          <w:bCs w:val="0"/>
          <w:kern w:val="2"/>
          <w:sz w:val="24"/>
          <w:szCs w:val="24"/>
          <w:vertAlign w:val="baseline"/>
          <w:lang w:val="en-US" w:eastAsia="zh-CN" w:bidi="ar-SA"/>
        </w:rPr>
        <w:t>。</w:t>
      </w:r>
    </w:p>
    <w:sectPr>
      <w:pgSz w:w="11906" w:h="16838"/>
      <w:pgMar w:top="1134" w:right="1417" w:bottom="1134" w:left="141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ADF6A88-940C-4010-A36B-F426FF4F768A}"/>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auto"/>
    <w:pitch w:val="default"/>
    <w:sig w:usb0="A00002BF" w:usb1="38CF7CFA" w:usb2="00082016" w:usb3="00000000" w:csb0="00040001" w:csb1="00000000"/>
    <w:embedRegular r:id="rId2" w:fontKey="{727C14C2-C8E2-4ACE-B08B-F6D6DB99C182}"/>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2001A9"/>
    <w:multiLevelType w:val="singleLevel"/>
    <w:tmpl w:val="D52001A9"/>
    <w:lvl w:ilvl="0" w:tentative="0">
      <w:start w:val="1"/>
      <w:numFmt w:val="decimal"/>
      <w:lvlText w:val="(%1)"/>
      <w:lvlJc w:val="left"/>
      <w:pPr>
        <w:tabs>
          <w:tab w:val="left" w:pos="312"/>
        </w:tabs>
      </w:pPr>
    </w:lvl>
  </w:abstractNum>
  <w:abstractNum w:abstractNumId="1">
    <w:nsid w:val="ECDBAC34"/>
    <w:multiLevelType w:val="singleLevel"/>
    <w:tmpl w:val="ECDBAC34"/>
    <w:lvl w:ilvl="0" w:tentative="0">
      <w:start w:val="3"/>
      <w:numFmt w:val="decimal"/>
      <w:lvlText w:val="%1."/>
      <w:lvlJc w:val="left"/>
      <w:pPr>
        <w:tabs>
          <w:tab w:val="left" w:pos="312"/>
        </w:tabs>
      </w:pPr>
    </w:lvl>
  </w:abstractNum>
  <w:abstractNum w:abstractNumId="2">
    <w:nsid w:val="125E84EC"/>
    <w:multiLevelType w:val="singleLevel"/>
    <w:tmpl w:val="125E84EC"/>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0NTNmNjk1YTkyNzIzNThjNjFmNDhiYWFhNWU0NTcifQ=="/>
  </w:docVars>
  <w:rsids>
    <w:rsidRoot w:val="2C1C0003"/>
    <w:rsid w:val="005A0FB6"/>
    <w:rsid w:val="00930024"/>
    <w:rsid w:val="00A74545"/>
    <w:rsid w:val="00DC2EF0"/>
    <w:rsid w:val="010A376F"/>
    <w:rsid w:val="014F496E"/>
    <w:rsid w:val="019A7B27"/>
    <w:rsid w:val="01C56903"/>
    <w:rsid w:val="01FB40D3"/>
    <w:rsid w:val="02C10E79"/>
    <w:rsid w:val="02D3402D"/>
    <w:rsid w:val="04561A95"/>
    <w:rsid w:val="049D5915"/>
    <w:rsid w:val="04AE5112"/>
    <w:rsid w:val="04F35535"/>
    <w:rsid w:val="05724804"/>
    <w:rsid w:val="05A65DBA"/>
    <w:rsid w:val="079F1D38"/>
    <w:rsid w:val="07BB7BE2"/>
    <w:rsid w:val="08BB0189"/>
    <w:rsid w:val="08CF1E16"/>
    <w:rsid w:val="099A0675"/>
    <w:rsid w:val="09BE184E"/>
    <w:rsid w:val="0A36039E"/>
    <w:rsid w:val="0A555E25"/>
    <w:rsid w:val="0A80640C"/>
    <w:rsid w:val="0A946506"/>
    <w:rsid w:val="0AB85257"/>
    <w:rsid w:val="0AEE2EC4"/>
    <w:rsid w:val="0B2C209F"/>
    <w:rsid w:val="0B6D204A"/>
    <w:rsid w:val="0BA72695"/>
    <w:rsid w:val="0BFC36B2"/>
    <w:rsid w:val="0C002F54"/>
    <w:rsid w:val="0C50326D"/>
    <w:rsid w:val="0C9910B8"/>
    <w:rsid w:val="0F732707"/>
    <w:rsid w:val="10345B48"/>
    <w:rsid w:val="10F80690"/>
    <w:rsid w:val="1182319D"/>
    <w:rsid w:val="11E34CD4"/>
    <w:rsid w:val="12751C80"/>
    <w:rsid w:val="12F12923"/>
    <w:rsid w:val="12F42BA4"/>
    <w:rsid w:val="12F9465F"/>
    <w:rsid w:val="137B1518"/>
    <w:rsid w:val="139F6FB4"/>
    <w:rsid w:val="140579C8"/>
    <w:rsid w:val="14424448"/>
    <w:rsid w:val="144A0FB5"/>
    <w:rsid w:val="14CB142B"/>
    <w:rsid w:val="1587065F"/>
    <w:rsid w:val="158C15D5"/>
    <w:rsid w:val="167C15E1"/>
    <w:rsid w:val="167C35F3"/>
    <w:rsid w:val="168B0076"/>
    <w:rsid w:val="169C5A2D"/>
    <w:rsid w:val="16BC39C4"/>
    <w:rsid w:val="17377504"/>
    <w:rsid w:val="17A83F70"/>
    <w:rsid w:val="17AD3815"/>
    <w:rsid w:val="183D2A1D"/>
    <w:rsid w:val="18610CDC"/>
    <w:rsid w:val="18624A54"/>
    <w:rsid w:val="19CE163C"/>
    <w:rsid w:val="1AF37BE5"/>
    <w:rsid w:val="1C3D5E4E"/>
    <w:rsid w:val="1CC01D49"/>
    <w:rsid w:val="1CD001DE"/>
    <w:rsid w:val="1D686669"/>
    <w:rsid w:val="1DE71CF2"/>
    <w:rsid w:val="1E002D45"/>
    <w:rsid w:val="1E34479D"/>
    <w:rsid w:val="1E965458"/>
    <w:rsid w:val="1EAA6178"/>
    <w:rsid w:val="1F240D25"/>
    <w:rsid w:val="1F360B38"/>
    <w:rsid w:val="1F691629"/>
    <w:rsid w:val="2216698B"/>
    <w:rsid w:val="225E643B"/>
    <w:rsid w:val="24E46F1D"/>
    <w:rsid w:val="255D6CCF"/>
    <w:rsid w:val="26C478CE"/>
    <w:rsid w:val="27331FF2"/>
    <w:rsid w:val="27BA21B7"/>
    <w:rsid w:val="27F11093"/>
    <w:rsid w:val="27FC55DF"/>
    <w:rsid w:val="28293315"/>
    <w:rsid w:val="285207D0"/>
    <w:rsid w:val="2A140D45"/>
    <w:rsid w:val="2B746B21"/>
    <w:rsid w:val="2BE01D10"/>
    <w:rsid w:val="2C1C0003"/>
    <w:rsid w:val="2C211BCC"/>
    <w:rsid w:val="2C820DC9"/>
    <w:rsid w:val="2D7C5000"/>
    <w:rsid w:val="2DAB2405"/>
    <w:rsid w:val="2E1707A2"/>
    <w:rsid w:val="2E2A34C6"/>
    <w:rsid w:val="2E7C1970"/>
    <w:rsid w:val="2EA80FBB"/>
    <w:rsid w:val="2EBA0CEE"/>
    <w:rsid w:val="2F185604"/>
    <w:rsid w:val="2F7B0CDB"/>
    <w:rsid w:val="2FAA0D63"/>
    <w:rsid w:val="2FC71915"/>
    <w:rsid w:val="301601A6"/>
    <w:rsid w:val="302A0189"/>
    <w:rsid w:val="311C64BD"/>
    <w:rsid w:val="31E011EE"/>
    <w:rsid w:val="31FE4B36"/>
    <w:rsid w:val="32873093"/>
    <w:rsid w:val="32E05C49"/>
    <w:rsid w:val="33E5680D"/>
    <w:rsid w:val="34014CC9"/>
    <w:rsid w:val="341E3ACD"/>
    <w:rsid w:val="34A2145A"/>
    <w:rsid w:val="35337105"/>
    <w:rsid w:val="353F1F4D"/>
    <w:rsid w:val="35CF32D1"/>
    <w:rsid w:val="35E07F32"/>
    <w:rsid w:val="3611341A"/>
    <w:rsid w:val="369127A2"/>
    <w:rsid w:val="371116C7"/>
    <w:rsid w:val="37B45057"/>
    <w:rsid w:val="37F123F6"/>
    <w:rsid w:val="38163439"/>
    <w:rsid w:val="387C3E5D"/>
    <w:rsid w:val="395C24F5"/>
    <w:rsid w:val="398C56AD"/>
    <w:rsid w:val="39EB4452"/>
    <w:rsid w:val="3A21355A"/>
    <w:rsid w:val="3A3A24F7"/>
    <w:rsid w:val="3A5853D0"/>
    <w:rsid w:val="3AC4102F"/>
    <w:rsid w:val="3B070E17"/>
    <w:rsid w:val="3B194FEF"/>
    <w:rsid w:val="3CB618AF"/>
    <w:rsid w:val="3D8F09A2"/>
    <w:rsid w:val="3DD27E02"/>
    <w:rsid w:val="3E3B71D1"/>
    <w:rsid w:val="3EC66817"/>
    <w:rsid w:val="3F254971"/>
    <w:rsid w:val="3F3E5024"/>
    <w:rsid w:val="3F485EA2"/>
    <w:rsid w:val="40700133"/>
    <w:rsid w:val="40886E75"/>
    <w:rsid w:val="40CF0629"/>
    <w:rsid w:val="41073EAD"/>
    <w:rsid w:val="412A5860"/>
    <w:rsid w:val="4195698C"/>
    <w:rsid w:val="41FB544E"/>
    <w:rsid w:val="42D33CD5"/>
    <w:rsid w:val="42D642C4"/>
    <w:rsid w:val="43196087"/>
    <w:rsid w:val="436035E1"/>
    <w:rsid w:val="436460E6"/>
    <w:rsid w:val="43BD0C0D"/>
    <w:rsid w:val="43C415F1"/>
    <w:rsid w:val="44354C47"/>
    <w:rsid w:val="44B454C5"/>
    <w:rsid w:val="453F4DD3"/>
    <w:rsid w:val="458B14A7"/>
    <w:rsid w:val="45A00EE8"/>
    <w:rsid w:val="46A6225E"/>
    <w:rsid w:val="46EE04C6"/>
    <w:rsid w:val="46F759E0"/>
    <w:rsid w:val="47AA25C7"/>
    <w:rsid w:val="48246AC3"/>
    <w:rsid w:val="48427933"/>
    <w:rsid w:val="49734CD4"/>
    <w:rsid w:val="49D56585"/>
    <w:rsid w:val="49E14CE1"/>
    <w:rsid w:val="4A381D3B"/>
    <w:rsid w:val="4AD351BA"/>
    <w:rsid w:val="4AEB3C55"/>
    <w:rsid w:val="4B18166A"/>
    <w:rsid w:val="4C193535"/>
    <w:rsid w:val="4C404189"/>
    <w:rsid w:val="4CC528E0"/>
    <w:rsid w:val="4D72762D"/>
    <w:rsid w:val="4D8E7356"/>
    <w:rsid w:val="4DE30CDF"/>
    <w:rsid w:val="4E5B79A0"/>
    <w:rsid w:val="4EAE5C7E"/>
    <w:rsid w:val="4F506DD9"/>
    <w:rsid w:val="53146D6E"/>
    <w:rsid w:val="53220600"/>
    <w:rsid w:val="536F510F"/>
    <w:rsid w:val="53D460CE"/>
    <w:rsid w:val="53F02939"/>
    <w:rsid w:val="541564DE"/>
    <w:rsid w:val="5472402E"/>
    <w:rsid w:val="54F433F8"/>
    <w:rsid w:val="552E40A2"/>
    <w:rsid w:val="559E3540"/>
    <w:rsid w:val="585F62DF"/>
    <w:rsid w:val="58776156"/>
    <w:rsid w:val="59610B16"/>
    <w:rsid w:val="5B5D01E8"/>
    <w:rsid w:val="5BC70423"/>
    <w:rsid w:val="5BC91804"/>
    <w:rsid w:val="5BFE3533"/>
    <w:rsid w:val="5C2B39D4"/>
    <w:rsid w:val="5CD206A7"/>
    <w:rsid w:val="5CFF3BED"/>
    <w:rsid w:val="5D20618C"/>
    <w:rsid w:val="5D777C27"/>
    <w:rsid w:val="5EF37781"/>
    <w:rsid w:val="5FA670C6"/>
    <w:rsid w:val="5FA8056B"/>
    <w:rsid w:val="5FC403E3"/>
    <w:rsid w:val="607B14D3"/>
    <w:rsid w:val="60806DF2"/>
    <w:rsid w:val="61B22E89"/>
    <w:rsid w:val="626B3534"/>
    <w:rsid w:val="630346A8"/>
    <w:rsid w:val="63B54510"/>
    <w:rsid w:val="63E861D3"/>
    <w:rsid w:val="64045626"/>
    <w:rsid w:val="649F3EC3"/>
    <w:rsid w:val="6537195E"/>
    <w:rsid w:val="66BC7A03"/>
    <w:rsid w:val="67405091"/>
    <w:rsid w:val="67452B44"/>
    <w:rsid w:val="67E4624C"/>
    <w:rsid w:val="68074D2D"/>
    <w:rsid w:val="684321AE"/>
    <w:rsid w:val="69042197"/>
    <w:rsid w:val="694766FF"/>
    <w:rsid w:val="69B12712"/>
    <w:rsid w:val="69C45FA2"/>
    <w:rsid w:val="6A04384E"/>
    <w:rsid w:val="6A271FB3"/>
    <w:rsid w:val="6A5639FE"/>
    <w:rsid w:val="6AB02803"/>
    <w:rsid w:val="6AB37C8C"/>
    <w:rsid w:val="6ACC2C4E"/>
    <w:rsid w:val="6BC1343F"/>
    <w:rsid w:val="6C950E4F"/>
    <w:rsid w:val="6CE34991"/>
    <w:rsid w:val="6D4A5949"/>
    <w:rsid w:val="6D4D2752"/>
    <w:rsid w:val="6D850C0C"/>
    <w:rsid w:val="6E201C15"/>
    <w:rsid w:val="6E4A5C52"/>
    <w:rsid w:val="6EA50F15"/>
    <w:rsid w:val="6F3647BA"/>
    <w:rsid w:val="6FC46FA9"/>
    <w:rsid w:val="6FF56A1A"/>
    <w:rsid w:val="7028329E"/>
    <w:rsid w:val="710B095A"/>
    <w:rsid w:val="71DF4422"/>
    <w:rsid w:val="71FE41EB"/>
    <w:rsid w:val="73430D47"/>
    <w:rsid w:val="73E4479B"/>
    <w:rsid w:val="74352696"/>
    <w:rsid w:val="74A22534"/>
    <w:rsid w:val="759566CA"/>
    <w:rsid w:val="759E344D"/>
    <w:rsid w:val="75C80BC8"/>
    <w:rsid w:val="77C655DB"/>
    <w:rsid w:val="78BC0AF2"/>
    <w:rsid w:val="78C95383"/>
    <w:rsid w:val="7A5B64AE"/>
    <w:rsid w:val="7B4B6523"/>
    <w:rsid w:val="7BDA43CC"/>
    <w:rsid w:val="7BF22E42"/>
    <w:rsid w:val="7C36212D"/>
    <w:rsid w:val="7C6333F8"/>
    <w:rsid w:val="7C705B15"/>
    <w:rsid w:val="7CE704CD"/>
    <w:rsid w:val="7D4B3625"/>
    <w:rsid w:val="7E14580A"/>
    <w:rsid w:val="7E1A042F"/>
    <w:rsid w:val="7E285251"/>
    <w:rsid w:val="7E3C4474"/>
    <w:rsid w:val="7E431733"/>
    <w:rsid w:val="7EA70340"/>
    <w:rsid w:val="7F0B4C13"/>
    <w:rsid w:val="7F2039F4"/>
    <w:rsid w:val="7FA65394"/>
    <w:rsid w:val="7FD50750"/>
    <w:rsid w:val="7FEB4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50" w:beforeLines="50" w:after="50" w:afterLines="50" w:line="380" w:lineRule="exact"/>
      <w:jc w:val="center"/>
      <w:outlineLvl w:val="0"/>
    </w:pPr>
    <w:rPr>
      <w:rFonts w:ascii="Times New Roman" w:hAnsi="Times New Roman" w:eastAsia="黑体" w:cs="Times New Roman"/>
      <w:b/>
      <w:bCs/>
      <w:kern w:val="44"/>
      <w:sz w:val="32"/>
      <w:szCs w:val="44"/>
      <w:lang w:val="en-US" w:eastAsia="zh-CN" w:bidi="ar-SA"/>
    </w:rPr>
  </w:style>
  <w:style w:type="paragraph" w:styleId="4">
    <w:name w:val="heading 2"/>
    <w:basedOn w:val="1"/>
    <w:next w:val="5"/>
    <w:qFormat/>
    <w:uiPriority w:val="0"/>
    <w:pPr>
      <w:keepNext/>
      <w:keepLines/>
      <w:adjustRightInd w:val="0"/>
      <w:snapToGrid w:val="0"/>
      <w:spacing w:before="20" w:beforeLines="20" w:after="20" w:afterLines="20" w:line="380" w:lineRule="exact"/>
      <w:ind w:firstLine="140" w:firstLineChars="140"/>
      <w:outlineLvl w:val="1"/>
    </w:pPr>
    <w:rPr>
      <w:rFonts w:ascii="宋体" w:hAnsi="宋体" w:eastAsia="黑体" w:cs="Times New Roman"/>
      <w:b/>
      <w:kern w:val="2"/>
      <w:sz w:val="30"/>
      <w:szCs w:val="24"/>
      <w:lang w:val="en-US" w:eastAsia="zh-CN" w:bidi="ar-SA"/>
    </w:rPr>
  </w:style>
  <w:style w:type="paragraph" w:styleId="2">
    <w:name w:val="heading 3"/>
    <w:basedOn w:val="1"/>
    <w:next w:val="1"/>
    <w:qFormat/>
    <w:uiPriority w:val="0"/>
    <w:pPr>
      <w:keepNext/>
      <w:keepLines/>
      <w:spacing w:before="20" w:beforeLines="20" w:after="20" w:afterLines="20" w:line="380" w:lineRule="exact"/>
      <w:ind w:firstLine="67" w:firstLineChars="67"/>
      <w:outlineLvl w:val="2"/>
    </w:pPr>
    <w:rPr>
      <w:rFonts w:ascii="Verdana" w:hAnsi="Verdana" w:eastAsia="黑体"/>
      <w:b/>
      <w:bCs/>
      <w:sz w:val="27"/>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315" w:lineRule="atLeast"/>
      <w:ind w:left="0" w:leftChars="0" w:right="100" w:rightChars="0" w:firstLine="420"/>
      <w:textAlignment w:val="baseline"/>
    </w:pPr>
    <w:rPr>
      <w:rFonts w:ascii="宋体" w:hAnsi="宋体" w:cs="Times New Roman"/>
      <w:kern w:val="0"/>
      <w:sz w:val="24"/>
      <w:lang w:bidi="ar-SA"/>
    </w:rPr>
  </w:style>
  <w:style w:type="paragraph" w:styleId="6">
    <w:name w:val="Body Text"/>
    <w:basedOn w:val="1"/>
    <w:next w:val="1"/>
    <w:qFormat/>
    <w:uiPriority w:val="0"/>
    <w:pPr>
      <w:spacing w:after="120"/>
    </w:pPr>
  </w:style>
  <w:style w:type="paragraph" w:styleId="7">
    <w:name w:val="Body Text Indent 2"/>
    <w:basedOn w:val="1"/>
    <w:qFormat/>
    <w:uiPriority w:val="0"/>
    <w:pPr>
      <w:snapToGrid w:val="0"/>
      <w:spacing w:line="560" w:lineRule="atLeast"/>
      <w:ind w:firstLine="540"/>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page number"/>
    <w:basedOn w:val="12"/>
    <w:qFormat/>
    <w:uiPriority w:val="0"/>
    <w:rPr>
      <w:rFonts w:ascii="Verdana" w:hAnsi="Verdana" w:eastAsia="仿宋_GB2312"/>
      <w:sz w:val="24"/>
      <w:lang w:val="en-US" w:eastAsia="en-US" w:bidi="ar-SA"/>
    </w:rPr>
  </w:style>
  <w:style w:type="character" w:styleId="15">
    <w:name w:val="FollowedHyperlink"/>
    <w:basedOn w:val="12"/>
    <w:qFormat/>
    <w:uiPriority w:val="0"/>
    <w:rPr>
      <w:color w:val="800080"/>
      <w:u w:val="none"/>
    </w:rPr>
  </w:style>
  <w:style w:type="character" w:styleId="16">
    <w:name w:val="HTML Definition"/>
    <w:basedOn w:val="12"/>
    <w:qFormat/>
    <w:uiPriority w:val="0"/>
    <w:rPr>
      <w:i/>
      <w:iCs/>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ascii="serif" w:hAnsi="serif" w:eastAsia="serif" w:cs="serif"/>
      <w:sz w:val="21"/>
      <w:szCs w:val="21"/>
    </w:rPr>
  </w:style>
  <w:style w:type="character" w:styleId="21">
    <w:name w:val="HTML Cite"/>
    <w:basedOn w:val="12"/>
    <w:qFormat/>
    <w:uiPriority w:val="0"/>
  </w:style>
  <w:style w:type="character" w:styleId="22">
    <w:name w:val="HTML Keyboard"/>
    <w:basedOn w:val="12"/>
    <w:qFormat/>
    <w:uiPriority w:val="0"/>
    <w:rPr>
      <w:rFonts w:hint="default" w:ascii="serif" w:hAnsi="serif" w:eastAsia="serif" w:cs="serif"/>
      <w:sz w:val="21"/>
      <w:szCs w:val="21"/>
    </w:rPr>
  </w:style>
  <w:style w:type="character" w:styleId="23">
    <w:name w:val="HTML Sample"/>
    <w:basedOn w:val="12"/>
    <w:qFormat/>
    <w:uiPriority w:val="0"/>
    <w:rPr>
      <w:rFonts w:hint="default" w:ascii="serif" w:hAnsi="serif" w:eastAsia="serif" w:cs="serif"/>
      <w:sz w:val="21"/>
      <w:szCs w:val="21"/>
    </w:rPr>
  </w:style>
  <w:style w:type="paragraph" w:customStyle="1" w:styleId="24">
    <w:name w:val="Default"/>
    <w:qFormat/>
    <w:uiPriority w:val="0"/>
    <w:pPr>
      <w:widowControl w:val="0"/>
      <w:autoSpaceDE w:val="0"/>
      <w:autoSpaceDN w:val="0"/>
      <w:adjustRightInd w:val="0"/>
    </w:pPr>
    <w:rPr>
      <w:rFonts w:ascii="Tahoma" w:hAnsi="Tahoma" w:cs="Tahoma" w:eastAsiaTheme="minorEastAsia"/>
      <w:color w:val="000000"/>
      <w:kern w:val="0"/>
      <w:sz w:val="24"/>
      <w:szCs w:val="24"/>
      <w:lang w:val="en-US" w:eastAsia="zh-CN" w:bidi="ar-SA"/>
    </w:rPr>
  </w:style>
  <w:style w:type="paragraph" w:customStyle="1" w:styleId="25">
    <w:name w:val="表身（左）"/>
    <w:qFormat/>
    <w:uiPriority w:val="0"/>
    <w:pPr>
      <w:adjustRightInd w:val="0"/>
      <w:snapToGrid w:val="0"/>
      <w:spacing w:line="300" w:lineRule="auto"/>
      <w:textAlignment w:val="center"/>
    </w:pPr>
    <w:rPr>
      <w:rFonts w:ascii="Times New Roman" w:hAnsi="Times New Roman" w:eastAsia="宋体" w:cs="Times New Roman"/>
      <w:kern w:val="0"/>
      <w:sz w:val="16"/>
      <w:szCs w:val="20"/>
      <w:lang w:val="en-US" w:eastAsia="zh-CN" w:bidi="ar-SA"/>
    </w:rPr>
  </w:style>
  <w:style w:type="paragraph" w:customStyle="1" w:styleId="26">
    <w:name w:val="列出段落1"/>
    <w:basedOn w:val="1"/>
    <w:qFormat/>
    <w:uiPriority w:val="99"/>
    <w:pPr>
      <w:ind w:firstLine="420" w:firstLineChars="200"/>
    </w:pPr>
  </w:style>
  <w:style w:type="character" w:customStyle="1" w:styleId="27">
    <w:name w:val="font11"/>
    <w:basedOn w:val="12"/>
    <w:qFormat/>
    <w:uiPriority w:val="0"/>
    <w:rPr>
      <w:rFonts w:hint="default" w:ascii="仿宋_GB2312" w:eastAsia="仿宋_GB2312" w:cs="仿宋_GB2312"/>
      <w:color w:val="000000"/>
      <w:sz w:val="21"/>
      <w:szCs w:val="21"/>
      <w:u w:val="none"/>
    </w:rPr>
  </w:style>
  <w:style w:type="character" w:customStyle="1" w:styleId="28">
    <w:name w:val="font101"/>
    <w:basedOn w:val="12"/>
    <w:qFormat/>
    <w:uiPriority w:val="0"/>
    <w:rPr>
      <w:rFonts w:hint="default" w:ascii="Times New Roman" w:hAnsi="Times New Roman" w:cs="Times New Roman"/>
      <w:color w:val="000000"/>
      <w:sz w:val="21"/>
      <w:szCs w:val="21"/>
      <w:u w:val="none"/>
    </w:rPr>
  </w:style>
  <w:style w:type="character" w:customStyle="1" w:styleId="29">
    <w:name w:val="font51"/>
    <w:basedOn w:val="12"/>
    <w:qFormat/>
    <w:uiPriority w:val="0"/>
    <w:rPr>
      <w:rFonts w:hint="eastAsia" w:ascii="宋体" w:hAnsi="宋体" w:eastAsia="宋体" w:cs="宋体"/>
      <w:color w:val="000000"/>
      <w:sz w:val="20"/>
      <w:szCs w:val="20"/>
      <w:u w:val="none"/>
    </w:rPr>
  </w:style>
  <w:style w:type="character" w:customStyle="1" w:styleId="30">
    <w:name w:val="font71"/>
    <w:basedOn w:val="12"/>
    <w:qFormat/>
    <w:uiPriority w:val="0"/>
    <w:rPr>
      <w:rFonts w:hint="eastAsia" w:ascii="宋体" w:hAnsi="宋体" w:eastAsia="宋体" w:cs="宋体"/>
      <w:color w:val="000000"/>
      <w:sz w:val="21"/>
      <w:szCs w:val="21"/>
      <w:u w:val="none"/>
    </w:rPr>
  </w:style>
  <w:style w:type="paragraph" w:customStyle="1" w:styleId="31">
    <w:name w:val="纯文本1"/>
    <w:basedOn w:val="1"/>
    <w:qFormat/>
    <w:uiPriority w:val="0"/>
    <w:rPr>
      <w:rFonts w:ascii="宋体" w:hAnsi="Courier New" w:cs="Courier New"/>
      <w:szCs w:val="21"/>
    </w:rPr>
  </w:style>
  <w:style w:type="character" w:customStyle="1" w:styleId="32">
    <w:name w:val="font31"/>
    <w:basedOn w:val="12"/>
    <w:qFormat/>
    <w:uiPriority w:val="0"/>
    <w:rPr>
      <w:rFonts w:hint="eastAsia" w:ascii="方正仿宋_GBK" w:hAnsi="方正仿宋_GBK" w:eastAsia="方正仿宋_GBK" w:cs="方正仿宋_GBK"/>
      <w:color w:val="000000"/>
      <w:sz w:val="22"/>
      <w:szCs w:val="22"/>
      <w:u w:val="single"/>
    </w:rPr>
  </w:style>
  <w:style w:type="character" w:customStyle="1" w:styleId="33">
    <w:name w:val="NormalCharacter"/>
    <w:semiHidden/>
    <w:qFormat/>
    <w:uiPriority w:val="0"/>
    <w:rPr>
      <w:rFonts w:ascii="Verdana" w:hAnsi="Verdana" w:eastAsia="仿宋_GB2312"/>
      <w:sz w:val="24"/>
      <w:lang w:val="en-US" w:eastAsia="en-US" w:bidi="ar-SA"/>
    </w:rPr>
  </w:style>
  <w:style w:type="paragraph" w:styleId="34">
    <w:name w:val="No Spacing"/>
    <w:qFormat/>
    <w:uiPriority w:val="0"/>
    <w:pPr>
      <w:widowControl w:val="0"/>
      <w:jc w:val="center"/>
    </w:pPr>
    <w:rPr>
      <w:rFonts w:ascii="Times New Roman" w:hAnsi="Times New Roman" w:eastAsia="宋体" w:cs="Times New Roman"/>
      <w:kern w:val="2"/>
      <w:sz w:val="24"/>
      <w:szCs w:val="24"/>
      <w:lang w:val="en-US" w:eastAsia="zh-CN" w:bidi="ar-SA"/>
    </w:rPr>
  </w:style>
  <w:style w:type="character" w:customStyle="1" w:styleId="35">
    <w:name w:val="font21"/>
    <w:basedOn w:val="12"/>
    <w:qFormat/>
    <w:uiPriority w:val="0"/>
    <w:rPr>
      <w:rFonts w:hint="default" w:ascii="Calibri" w:hAnsi="Calibri" w:cs="Calibri"/>
      <w:color w:val="000000"/>
      <w:sz w:val="28"/>
      <w:szCs w:val="28"/>
      <w:u w:val="none"/>
    </w:rPr>
  </w:style>
  <w:style w:type="character" w:customStyle="1" w:styleId="36">
    <w:name w:val="root"/>
    <w:basedOn w:val="12"/>
    <w:qFormat/>
    <w:uiPriority w:val="0"/>
  </w:style>
  <w:style w:type="character" w:customStyle="1" w:styleId="37">
    <w:name w:val="leaf"/>
    <w:basedOn w:val="12"/>
    <w:qFormat/>
    <w:uiPriority w:val="0"/>
  </w:style>
  <w:style w:type="character" w:customStyle="1" w:styleId="38">
    <w:name w:val="form-item-field"/>
    <w:basedOn w:val="12"/>
    <w:qFormat/>
    <w:uiPriority w:val="0"/>
    <w:rPr>
      <w:sz w:val="21"/>
      <w:szCs w:val="21"/>
    </w:rPr>
  </w:style>
  <w:style w:type="character" w:customStyle="1" w:styleId="39">
    <w:name w:val="category-text"/>
    <w:basedOn w:val="12"/>
    <w:qFormat/>
    <w:uiPriority w:val="0"/>
    <w:rPr>
      <w:b/>
      <w:bCs/>
      <w:shd w:val="clear" w:fill="FFFFFF"/>
    </w:rPr>
  </w:style>
  <w:style w:type="character" w:customStyle="1" w:styleId="40">
    <w:name w:val="sort-name-span"/>
    <w:basedOn w:val="12"/>
    <w:qFormat/>
    <w:uiPriority w:val="0"/>
  </w:style>
  <w:style w:type="character" w:customStyle="1" w:styleId="41">
    <w:name w:val="flow-name-span"/>
    <w:basedOn w:val="12"/>
    <w:qFormat/>
    <w:uiPriority w:val="0"/>
  </w:style>
  <w:style w:type="character" w:customStyle="1" w:styleId="42">
    <w:name w:val="form-textarea-print1"/>
    <w:basedOn w:val="12"/>
    <w:qFormat/>
    <w:uiPriority w:val="0"/>
    <w:rPr>
      <w:rFonts w:ascii="微软雅黑" w:hAnsi="微软雅黑" w:eastAsia="微软雅黑" w:cs="微软雅黑"/>
      <w:sz w:val="18"/>
      <w:szCs w:val="18"/>
    </w:rPr>
  </w:style>
  <w:style w:type="character" w:customStyle="1" w:styleId="43">
    <w:name w:val="font41"/>
    <w:basedOn w:val="12"/>
    <w:qFormat/>
    <w:uiPriority w:val="0"/>
    <w:rPr>
      <w:rFonts w:ascii="方正仿宋_GB2312" w:hAnsi="方正仿宋_GB2312" w:eastAsia="方正仿宋_GB2312" w:cs="方正仿宋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1937</Words>
  <Characters>2014</Characters>
  <Lines>1</Lines>
  <Paragraphs>1</Paragraphs>
  <TotalTime>1</TotalTime>
  <ScaleCrop>false</ScaleCrop>
  <LinksUpToDate>false</LinksUpToDate>
  <CharactersWithSpaces>2059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2020-11-30T03:10:00Z</dcterms:created>
  <dc:creator>小朋友提不起劲</dc:creator>
  <cp:lastModifiedBy>筱筱</cp:lastModifiedBy>
  <cp:lastPrinted>2026-10-19T01:14:00Z</cp:lastPrinted>
  <dcterms:modified xsi:type="dcterms:W3CDTF">2026-10-19T02:02:53Z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F8E00CA64559475CA617163FCC2AEE11</vt:lpwstr>
  </property>
  <property fmtid="{D5CDD505-2E9C-101B-9397-08002B2CF9AE}" pid="4" name="KSOTemplateDocerSaveRecord">
    <vt:lpwstr>eyJoZGlkIjoiNTBlMmQ2ZmI4YmFlYzM0NjQ0OGQwMjg2YTc0NjE3MTkiLCJ1c2VySWQiOiIyODExMjA4MTcifQ==</vt:lpwstr>
  </property>
</Properties>
</file>