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AE3DD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全自动</w:t>
      </w:r>
      <w:r>
        <w:rPr>
          <w:rFonts w:hint="eastAsia"/>
          <w:b/>
          <w:bCs/>
          <w:sz w:val="32"/>
          <w:szCs w:val="32"/>
        </w:rPr>
        <w:t>内镜</w:t>
      </w:r>
      <w:r>
        <w:rPr>
          <w:rFonts w:hint="eastAsia"/>
          <w:b/>
          <w:bCs/>
          <w:sz w:val="32"/>
          <w:szCs w:val="32"/>
          <w:lang w:val="en-US" w:eastAsia="zh-CN"/>
        </w:rPr>
        <w:t>消毒系统需求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参数</w:t>
      </w:r>
    </w:p>
    <w:p w14:paraId="2A1BEF75">
      <w:pPr>
        <w:jc w:val="center"/>
        <w:rPr>
          <w:rFonts w:hint="eastAsia"/>
          <w:b/>
          <w:bCs/>
          <w:sz w:val="32"/>
          <w:szCs w:val="32"/>
        </w:rPr>
      </w:pPr>
    </w:p>
    <w:p w14:paraId="3DE412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产品用途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用于内镜可清洗部件的清洗和消毒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46010F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资质要求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提供有效的医疗器械注册证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34900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空间限制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由于空间限制，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中标后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供应商需进行深化设计，提供平面设计图纸，由甲方确认后，方可供货，如因尺寸问题，产品的水路，电路，及部分装修，由供应商承担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。（提供承诺函）</w:t>
      </w:r>
    </w:p>
    <w:p w14:paraId="2DC72735">
      <w:pPr>
        <w:pStyle w:val="2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4.单槽外尺寸：≥550*750mm，单槽内尺寸：≥440*470*220mm</w:t>
      </w:r>
    </w:p>
    <w:p w14:paraId="311FF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清洗槽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清洗槽采用前高后低防泛水，前端圆弧，材质采用PMMA-ABS高分子复合材料一体吸塑成型，可根据房间尺寸灵活配置，支持异形槽体设计，板材厚度≥5mm，槽面离地高度≤890mm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779DA2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6.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干燥台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干燥台台面有条型凸起，具有防滑性，尺寸可定制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3BC38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功能背板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功能背板采用PMMA-ABS高分子复合材料一体吸塑成型，整体高度≤1730mm，支持异形背板设计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651FA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8.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柜体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柜体底板采用≥18mm厚的PVC中空板，玻璃厚度≥5mm，配备静音轴承滚轮，柜门采用铝合金型材包框的彩色晶钢玻璃门，配备304不锈钢阻尼铰链，颜色可支持定制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55D7FB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9.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照明系统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LED嵌入式圆型射灯，功率≤3W，清洗时辅助照明。</w:t>
      </w:r>
    </w:p>
    <w:p w14:paraId="3BA80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10.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供电系统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具备过载、过压、漏电保护功能，由电路和电气元器件连接组成，保护接地回路都经过阻值测试，设备任意接地线路与主接地点的电阻值≤0.2Ω。</w:t>
      </w:r>
    </w:p>
    <w:p w14:paraId="36123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给排水系统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采用优质高压编织供水软管及管件阀门，优质PP-R冷热进水管材和管件接头，优质PVC-U专用排水管及管件阀门；优质供水供气PU管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B805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自动灌流器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采用隐藏式后置设计，液晶中文显示屏操作面板，一键式操作，具有脉动注液、注气、吸引等功能，各个程序运行时间均可调节，程序运行时具有倒计时显示，运行结束有声讯提示信号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0EE62E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空压机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采用无油活塞式设计，保证压缩气体中无油分子，配水气分离系统，压力调节范围为 0.2Mpa～0.7Mpa，气罐一次性储气量≧30L，主机气量≧50L/min，噪音≦70dB。功率≥680W，净重≥24KG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5F9DA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空气过滤减压装置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气压调节范围：0～1Mpa，分离空气中的水分及其它杂质，提供干燥纯净的压缩空气，设有注气压力调节器,为腔道提供气压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69E3D5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15.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清洗气枪/水枪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枪体采用304不锈钢材质，一次冲压成型，耐受压力0-0.8MPa。</w:t>
      </w:r>
    </w:p>
    <w:p w14:paraId="14F686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16.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水龙头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折叠式304不锈钢材质水龙头，360°旋转式设计，有冷热水接口，单开关水温度调节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075AFB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17.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挂钩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3/5位挂钩，304不锈钢材质，耐酸碱，表面易清洁，用于悬挂各类清洗毛刷和辅助工具。</w:t>
      </w:r>
    </w:p>
    <w:p w14:paraId="5EBC3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18.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纱布架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304不锈钢材质，耐腐蚀，表面光滑易清洁，用于放置清洗过程中的手套、纱布等物品。</w:t>
      </w:r>
    </w:p>
    <w:p w14:paraId="08E3E5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19.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防护罩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采用透明亚克力面板吸塑成型，减少消毒液挥发产生的有害气体。</w:t>
      </w:r>
    </w:p>
    <w:p w14:paraId="4058E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20.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医疗快速接头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配有带自锁的接头，全部程序执行只需连接接头，无需拆卸全管道灌流器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530E2E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三通灌流装置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连接灌流软管，将灌流管路分开，对内镜全管路进行灌流，三通接口为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6.4mm。</w:t>
      </w:r>
    </w:p>
    <w:p w14:paraId="4AE7D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灌流专用硅胶管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采用优质硅胶原料，并以独特的挤出工艺制造而成，柔韧度极好，耐扭结不变形，具有很高的抗撕强度，具有无毒、耐高温低温、寿命长、长时间使用不变硬、不变色、不变黄等优点。</w:t>
      </w:r>
    </w:p>
    <w:p w14:paraId="4D015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IC感应卡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灌流器感应卡，可绑定内镜和人员信息，用于设备追溯系统。</w:t>
      </w:r>
    </w:p>
    <w:p w14:paraId="29B534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产品资质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生产厂商具备有效的ISO13485（医疗器械质量管理体系）及ISO质量管理体系、环境管理体系和职业健康管理体系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B914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25.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配置清单：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1.内镜清洗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工作站1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套；</w:t>
      </w:r>
    </w:p>
    <w:p w14:paraId="1EECC5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内镜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储镜柜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个；</w:t>
      </w:r>
    </w:p>
    <w:p w14:paraId="6D9D5D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680" w:firstLineChars="7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内镜纯水机1台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</w:p>
    <w:p w14:paraId="08B871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0" w:leftChars="0" w:firstLine="1680" w:firstLineChars="7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内镜转运车1台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18120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360" w:lineRule="auto"/>
        <w:ind w:firstLine="3092" w:firstLineChars="11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投标人条件</w:t>
      </w:r>
    </w:p>
    <w:p w14:paraId="6EEE8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1.投标人必须具有销售、安装、维修保养能力。</w:t>
      </w:r>
    </w:p>
    <w:p w14:paraId="20B53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2.投标人必须为合格设备制造商及其合法授权的代理商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20E20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产品质量保证规范符合中华人民共和国国家相关标准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5715F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应按照医院要求将设备接入医院信息系统，接入系统产生的所有费用由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承担。</w:t>
      </w:r>
    </w:p>
    <w:p w14:paraId="29E7C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.付款方式: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安装验收调试合格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正常运行后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，手续齐全的情况下60日付款。</w:t>
      </w:r>
    </w:p>
    <w:p w14:paraId="071F5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.设备整机质保期为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年，质保范围包括主机、所有配件及消耗性材料，设备出现故障4小时内到达甲方现场维修该设备。如保修期内中标单位未按时履行维修义务，按总价的百分之五，向医院支付违约金，造成医院损失，中标单位另行赔偿。</w:t>
      </w:r>
    </w:p>
    <w:p w14:paraId="6EEA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67731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9696D"/>
    <w:rsid w:val="010D12F4"/>
    <w:rsid w:val="18C10D33"/>
    <w:rsid w:val="21E9696D"/>
    <w:rsid w:val="4AD12F7E"/>
    <w:rsid w:val="54E973C8"/>
    <w:rsid w:val="58657042"/>
    <w:rsid w:val="65934CB4"/>
    <w:rsid w:val="67F3E8DD"/>
    <w:rsid w:val="EB9FB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b/>
      <w:bCs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60" w:lineRule="auto"/>
      <w:ind w:firstLine="0" w:firstLineChars="0"/>
    </w:pPr>
    <w:rPr>
      <w:rFonts w:ascii="Times New Roman" w:hAnsi="Times New Roman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805</Words>
  <Characters>934</Characters>
  <Lines>0</Lines>
  <Paragraphs>0</Paragraphs>
  <TotalTime>3</TotalTime>
  <ScaleCrop>false</ScaleCrop>
  <LinksUpToDate>false</LinksUpToDate>
  <CharactersWithSpaces>942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2026-05-15T09:58:00Z</dcterms:created>
  <dc:creator>奔跑的牛魔王</dc:creator>
  <cp:lastModifiedBy>筱筱</cp:lastModifiedBy>
  <cp:lastPrinted>2026-10-28T01:07:00Z</cp:lastPrinted>
  <dcterms:modified xsi:type="dcterms:W3CDTF">2026-10-28T09:03:41Z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CF72A3D5A0E5500C0C94AC6AA3B0ECB2_43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