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00B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内镜一体化清洗消毒系统</w:t>
      </w:r>
    </w:p>
    <w:p w14:paraId="4B72DEE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（全自动内镜消毒系统）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需求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参数</w:t>
      </w:r>
    </w:p>
    <w:p w14:paraId="541A63BA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数量:1套</w:t>
      </w:r>
    </w:p>
    <w:p w14:paraId="663B9CFB">
      <w:pPr>
        <w:spacing w:line="360" w:lineRule="auto"/>
        <w:rPr>
          <w:rFonts w:hint="default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  <w:t>1、清洗槽</w:t>
      </w:r>
    </w:p>
    <w:p w14:paraId="4B67709E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清洗台面由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个内镜专业洗消槽组成，分别为初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酶洗槽、次洗槽、和末洗槽组成，槽体采用进口PMMA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ABS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复合材料压注模具一次成型。</w:t>
      </w:r>
    </w:p>
    <w:p w14:paraId="3EEAD423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bookmarkStart w:id="0" w:name="OLE_LINK10"/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槽体台面采用流体学工艺设计，科学的与人体结构相结合，又不积水。台面厚度＞5mm，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离地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高度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≤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8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0mm。槽体排水面既美观，又能使污水排放干净，防止污染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783A0956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）方槽外径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≤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61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0mm×660mm×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0mm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，小方槽内径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490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mm×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410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mm×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170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mm </w:t>
      </w:r>
      <w:bookmarkEnd w:id="0"/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3258FEC5">
      <w:pPr>
        <w:spacing w:line="360" w:lineRule="auto"/>
        <w:rPr>
          <w:rFonts w:hint="default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消毒槽</w:t>
      </w:r>
    </w:p>
    <w:p w14:paraId="736260EC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消毒槽，槽体采用进口PMMA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ABS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复合材料压注模具一次成型。</w:t>
      </w:r>
    </w:p>
    <w:p w14:paraId="1E31E910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槽体台面采用流体学工艺设计，科学的与人体结构相结合，又不积水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台面厚度＞5mm，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离地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高度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≤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8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0mm。槽体排水面既美观，又能使污水排放干净，防止污染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60908181">
      <w:pPr>
        <w:spacing w:line="360" w:lineRule="auto"/>
        <w:jc w:val="both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）方槽外径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≤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61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0mm×660mm×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0mm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，小方槽内径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490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mm×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410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mm×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170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mm </w:t>
      </w:r>
    </w:p>
    <w:p w14:paraId="7530F4C1">
      <w:pPr>
        <w:spacing w:line="360" w:lineRule="auto"/>
        <w:jc w:val="both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（4）按最新规范配备专用动力泵，最大扬程≥10M，最大流量≥28L/MIN，耐酸耐碱，提供相关图片。</w:t>
      </w:r>
    </w:p>
    <w:p w14:paraId="1E2FF42E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（5）一键启动自动排废液和排废水，无需手工，降低医护人员与危化品的接触时间，保障医护人员的人身健康。</w:t>
      </w:r>
    </w:p>
    <w:p w14:paraId="6B432488">
      <w:pPr>
        <w:numPr>
          <w:ilvl w:val="0"/>
          <w:numId w:val="0"/>
        </w:numPr>
        <w:spacing w:line="360" w:lineRule="auto"/>
        <w:rPr>
          <w:rFonts w:hint="default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  <w:t>3、水处理器</w:t>
      </w:r>
    </w:p>
    <w:p w14:paraId="07C5BCF6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处理性能指标要求：严格按照卫生部《规范》，专用水处理器，多层式渗透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0.22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um 和0.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 um 分级高精度超微过滤高精过滤，净化水质，更保证内镜清洗安全。</w:t>
      </w:r>
    </w:p>
    <w:p w14:paraId="534E6CA6">
      <w:pPr>
        <w:numPr>
          <w:ilvl w:val="0"/>
          <w:numId w:val="0"/>
        </w:numPr>
        <w:spacing w:line="360" w:lineRule="auto"/>
        <w:rPr>
          <w:rFonts w:hint="default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（2）带紫外线杀菌装置，为用水提供安全保障。紫外线杀菌装置使用寿命≥5000小时。</w:t>
      </w:r>
    </w:p>
    <w:p w14:paraId="2DE244E9">
      <w:pPr>
        <w:spacing w:line="360" w:lineRule="auto"/>
        <w:rPr>
          <w:rFonts w:hint="default" w:ascii="宋体" w:hAnsi="宋体" w:eastAsia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 xml:space="preserve">保养操作平台 </w:t>
      </w:r>
    </w:p>
    <w:p w14:paraId="07E0821B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）干燥台采用进口PMMA复合材料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压注模具一次成型。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外尺寸:长1700mm*宽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660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mm*高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860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mm(根据实际场地可作调整)。</w:t>
      </w:r>
    </w:p>
    <w:p w14:paraId="6ED8D0D5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）台面有多个小圆型突起，防止内镜打滑又有利于内镜干燥。</w:t>
      </w:r>
    </w:p>
    <w:p w14:paraId="70C34B18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）台面结构与清洗槽协调一致，同时防止内镜掉落地上。</w:t>
      </w:r>
    </w:p>
    <w:p w14:paraId="2CA8408E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）嵌入式多功能控制开关插座,方便快捷。</w:t>
      </w:r>
    </w:p>
    <w:p w14:paraId="225376A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zh-CN"/>
        </w:rPr>
        <w:t>）一体化的电、气供应系统,可灵活调整摆放位置。</w:t>
      </w:r>
    </w:p>
    <w:p w14:paraId="2D50CA10">
      <w:pPr>
        <w:spacing w:line="360" w:lineRule="auto"/>
        <w:rPr>
          <w:rFonts w:hint="default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5</w:t>
      </w:r>
      <w:bookmarkStart w:id="1" w:name="OLE_LINK8"/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灌流器</w:t>
      </w:r>
    </w:p>
    <w:p w14:paraId="48FAC5E7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隐藏式设计，注流器与电脑控制器，控制实际操作流程，并具备定时、倒计时功能,结束时声音报警提示功能。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机械按键不受穿戴以及水渍影响。</w:t>
      </w:r>
    </w:p>
    <w:p w14:paraId="77847387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整体配置实现半自动化操作，具备智能化中心，控制系统（消毒时间及次数数码显示、消毒液过期自动报警等）。</w:t>
      </w:r>
    </w:p>
    <w:p w14:paraId="4C7F5868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微型电脑控制，体积小，操作简单，数据可根据要求来调整。</w:t>
      </w:r>
    </w:p>
    <w:p w14:paraId="0A30CF21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配有多种牌子的内镜连接头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和≤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10μ的过滤网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，便于灌流、更换接头，连接于槽体为进口快接，方便更换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与清理，预防纱布棉絮物堵塞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。</w:t>
      </w:r>
    </w:p>
    <w:p w14:paraId="18744DCA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严格按《内镜清洗消毒操作规范（20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版）》的标准，国际标准设计，注流器高水压，低流量，适合不同品牌管径内镜。内外同时灌流，使清洗更彻底，保证消毒效果。</w:t>
      </w:r>
    </w:p>
    <w:p w14:paraId="32199163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电压：24V  功率：72W</w:t>
      </w:r>
      <w:bookmarkEnd w:id="1"/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0CC1E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6、纯水机</w:t>
      </w:r>
    </w:p>
    <w:p w14:paraId="45130AA1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主要工艺：预处理系统+反渗透系统+紫外灭菌+一键式消毒系统+纯水储水系统+循环供水系统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5F416AC6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产水量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0L/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H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 @25℃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587073A3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产水水质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符合：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中国人民共和国卫生行业标准WS507-2016软式内镜清洗消毒技术规范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微生物≤10CFU/100mL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，纯水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电导率≤15µs/cm@25℃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52CEA220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设备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采用一体式钣金喷塑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封闭式机箱，无菌水箱内置，更节约空间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，设备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尺寸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700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*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52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0*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147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mm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，系统结构布置紧凑，占地面积小，有效节约空间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采用水电分离模块式结构，使用安全且便于维护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管路符合3D原则无死腔设计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7CA3D2A2">
      <w:pPr>
        <w:spacing w:line="360" w:lineRule="auto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反渗透膜为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芳香族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聚酰胺复合膜，RO膜孔径：0.0001～0.001um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，脱盐率≥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99%，离子去除率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99%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RO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膜壳材质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SUS304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不锈钢，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RO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膜具有运行冲洗、定时冲洗、手动冲洗等功能，开机定时18秒与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水满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后自动双冲洗功能，运行时实现全循环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，避免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细菌的滋生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，并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自带水质超标排放功能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7E4303A9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）系统采用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PLC可编程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NJQX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智能控制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程序，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完成电气和仪表的自动控制与监控，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触摸屏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7英寸，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动画显示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工作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流程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实时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在线监测显示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日期、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时间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、水温、电导率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水箱水位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参数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；PLC控制器与触摸屏为分体式设计，更具电磁兼容性，性能更加稳定，降低故障率，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弱电工艺保障操作人员人身安全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，可根据客户需求量身定制及后期免费升级，并提供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PLC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控制程序文件及电路控制图纸。</w:t>
      </w:r>
    </w:p>
    <w:p w14:paraId="437C6D27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（7）系统具有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2路水质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在线监测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实时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监测原水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水质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纯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水水质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及系统运行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工作压力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具有水温自动补偿功能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，为提供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纯水出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水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水质的准确性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设备生产厂家需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提供第三方检测机构出具最近一年的压力表、电导率仪校准证书的证明文件。</w:t>
      </w:r>
    </w:p>
    <w:p w14:paraId="51F2B526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供水泵过流部件为SUS304不锈钢材质，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流量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2T/H，扬程30m，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供水压力为0.2MPa-0.4MPa，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采用变频循环管路输送，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有效保证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高峰及低峰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出水流量和压力要求，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管路具有微循环调节设计符合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3D原则，防止微生物滋生，并提供微循环供水系统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国家权威机构出具的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技术证明文件。</w:t>
      </w:r>
    </w:p>
    <w:p w14:paraId="52589B48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具有系统开机自检、自动冲洗、原水缺水/水箱水满自动停机、高低压保护功能；三级密码设置功能，防止非相关工作人员不合理操作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具备自动和手动两种控制模式，具有操作系统的故障识别和电压安全及过载保护、自动保护和报警功能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等保护人身安全功能，需并提供出厂医用耐压测试、接地电阻、泄露电流测试报告及最近一年的耐压测试、接地电阻、泄露电流校准证书的证明文件。</w:t>
      </w:r>
    </w:p>
    <w:p w14:paraId="0B59A7A7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（10）具备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完善的耗材管理功能，具有耗材的使用时间和处理水量统计功能，并可通过嗡鸣报警器，提示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户更换耗材，用户可根据这些统计数据，及时地维护和保养设备，主控屏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显示耗材寿命剩余时间，到期更换自动中文字幕提示和声间报警提醒，避免水质下降。</w:t>
      </w:r>
    </w:p>
    <w:p w14:paraId="257FF658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（11）提供设备安装布局图，并提供设计人员的水处理工程师从业资格证书并加盖公章。</w:t>
      </w:r>
    </w:p>
    <w:p w14:paraId="31BBBA6A">
      <w:p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bookmarkStart w:id="2" w:name="OLE_LINK6"/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（12）生产厂家具有高新技术企业、创新型中小企业、科技型中小企业、A级纳税信用等级、消毒产品生产许可证、医疗器械生产许可证等生产资质</w:t>
      </w:r>
      <w:bookmarkEnd w:id="2"/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3BEA1102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  <w:t>7、配置清单</w:t>
      </w:r>
    </w:p>
    <w:p w14:paraId="2E105FB9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（1）清洗槽       3个</w:t>
      </w:r>
    </w:p>
    <w:p w14:paraId="1FE97327">
      <w:pPr>
        <w:numPr>
          <w:ilvl w:val="0"/>
          <w:numId w:val="0"/>
        </w:numPr>
        <w:spacing w:line="360" w:lineRule="auto"/>
        <w:rPr>
          <w:rFonts w:hint="default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（2）消毒槽       1个</w:t>
      </w:r>
    </w:p>
    <w:p w14:paraId="01097A9E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（3）纯水机       1台</w:t>
      </w:r>
    </w:p>
    <w:p w14:paraId="0E9C8483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（4）储镜柜       1台</w:t>
      </w:r>
    </w:p>
    <w:p w14:paraId="79D6160D">
      <w:pPr>
        <w:numPr>
          <w:ilvl w:val="0"/>
          <w:numId w:val="0"/>
        </w:numPr>
        <w:spacing w:line="360" w:lineRule="auto"/>
        <w:rPr>
          <w:rFonts w:hint="default" w:ascii="宋体" w:hAnsi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（5）转运车      1台</w:t>
      </w: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，手续齐全的情况下60日付款。</w:t>
      </w:r>
    </w:p>
    <w:p w14:paraId="6087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  <w:bookmarkStart w:id="3" w:name="_GoBack"/>
      <w:bookmarkEnd w:id="3"/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</w:p>
    <w:p w14:paraId="76D5AC5C">
      <w:pPr>
        <w:pStyle w:val="10"/>
        <w:numPr>
          <w:ilvl w:val="0"/>
          <w:numId w:val="0"/>
        </w:numPr>
        <w:spacing w:line="360" w:lineRule="exact"/>
        <w:jc w:val="left"/>
        <w:rPr>
          <w:rFonts w:cs="宋体" w:asciiTheme="minorEastAsia" w:hAnsiTheme="minorEastAsia"/>
          <w:sz w:val="24"/>
          <w:szCs w:val="24"/>
        </w:rPr>
      </w:pPr>
    </w:p>
    <w:p w14:paraId="4A3DBC13">
      <w:pPr>
        <w:pStyle w:val="10"/>
        <w:numPr>
          <w:ilvl w:val="0"/>
          <w:numId w:val="0"/>
        </w:numPr>
        <w:spacing w:line="360" w:lineRule="exact"/>
        <w:ind w:left="720" w:leftChars="0"/>
        <w:jc w:val="left"/>
        <w:rPr>
          <w:rFonts w:cs="宋体" w:asciiTheme="minorEastAsia" w:hAnsiTheme="minorEastAsia"/>
          <w:sz w:val="24"/>
          <w:szCs w:val="24"/>
        </w:rPr>
      </w:pPr>
    </w:p>
    <w:p w14:paraId="382D5677">
      <w:pPr>
        <w:numPr>
          <w:ilvl w:val="0"/>
          <w:numId w:val="0"/>
        </w:numPr>
        <w:spacing w:line="360" w:lineRule="auto"/>
        <w:rPr>
          <w:rFonts w:hint="default" w:ascii="宋体" w:hAnsi="宋体"/>
          <w:bCs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5180"/>
    <w:rsid w:val="19F6234E"/>
    <w:rsid w:val="250D7D7B"/>
    <w:rsid w:val="2AB033FD"/>
    <w:rsid w:val="30D13ABC"/>
    <w:rsid w:val="32E04934"/>
    <w:rsid w:val="373625B4"/>
    <w:rsid w:val="4CFB3301"/>
    <w:rsid w:val="50441EAA"/>
    <w:rsid w:val="57F17FF9"/>
    <w:rsid w:val="610D1934"/>
    <w:rsid w:val="621A32C7"/>
    <w:rsid w:val="688B0A2A"/>
    <w:rsid w:val="794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4">
    <w:name w:val="Body Text First Indent"/>
    <w:basedOn w:val="3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customStyle="1" w:styleId="7">
    <w:name w:val="UP正文"/>
    <w:basedOn w:val="8"/>
    <w:qFormat/>
    <w:uiPriority w:val="0"/>
    <w:pPr>
      <w:spacing w:line="360" w:lineRule="auto"/>
      <w:ind w:left="420" w:leftChars="200" w:firstLine="420" w:firstLineChars="200"/>
    </w:pPr>
    <w:rPr>
      <w:rFonts w:ascii="Tahoma" w:eastAsia="宋体" w:cs="宋体"/>
      <w:kern w:val="2"/>
      <w:sz w:val="21"/>
      <w:lang w:val="en-US" w:eastAsia="zh-CN" w:bidi="ar-SA"/>
    </w:rPr>
  </w:style>
  <w:style w:type="paragraph" w:customStyle="1" w:styleId="8">
    <w:name w:val="样式 正文文本缩进 2 + Tahoma 五号 首行缩进:  2 字符2"/>
    <w:basedOn w:val="1"/>
    <w:qFormat/>
    <w:uiPriority w:val="0"/>
    <w:pPr>
      <w:spacing w:line="360" w:lineRule="auto"/>
      <w:ind w:left="420" w:leftChars="200" w:firstLine="420" w:firstLineChars="200"/>
    </w:pPr>
    <w:rPr>
      <w:rFonts w:ascii="Tahoma" w:eastAsia="宋体"/>
    </w:rPr>
  </w:style>
  <w:style w:type="paragraph" w:customStyle="1" w:styleId="9">
    <w:name w:val="ZS_D表 正文"/>
    <w:basedOn w:val="1"/>
    <w:qFormat/>
    <w:uiPriority w:val="0"/>
    <w:pPr>
      <w:snapToGrid w:val="0"/>
      <w:spacing w:beforeLines="50" w:line="360" w:lineRule="auto"/>
    </w:pPr>
    <w:rPr>
      <w:rFonts w:hAnsi="宋体"/>
      <w:sz w:val="18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2450</Words>
  <Characters>2708</Characters>
  <Lines>0</Lines>
  <Paragraphs>0</Paragraphs>
  <TotalTime>3</TotalTime>
  <ScaleCrop>false</ScaleCrop>
  <LinksUpToDate>false</LinksUpToDate>
  <CharactersWithSpaces>2812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2026-05-10T12:58:00Z</dcterms:created>
  <dc:creator>Administrator</dc:creator>
  <cp:lastModifiedBy>筱筱</cp:lastModifiedBy>
  <dcterms:modified xsi:type="dcterms:W3CDTF">2026-07-02T06:56:14Z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eyJoZGlkIjoiNTBlMmQ2ZmI4YmFlYzM0NjQ0OGQwMjg2YTc0NjE3MTkiLCJ1c2VySWQiOiIyODExMjA4MTcifQ==</vt:lpwstr>
  </property>
  <property fmtid="{D5CDD505-2E9C-101B-9397-08002B2CF9AE}" pid="4" name="ICV">
    <vt:lpwstr>0BA2FEEE811F4B7FA3E59FC501204211_12</vt:lpwstr>
  </property>
</Properties>
</file>