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752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bCs/>
          <w:color w:val="auto"/>
          <w:sz w:val="24"/>
          <w:szCs w:val="32"/>
          <w:u w:val="none"/>
          <w:lang w:val="en-US" w:eastAsia="zh-CN"/>
        </w:rPr>
      </w:pPr>
      <w:bookmarkStart w:id="7" w:name="_GoBack"/>
      <w:bookmarkEnd w:id="7"/>
    </w:p>
    <w:p w14:paraId="7CD57B27">
      <w:pPr>
        <w:jc w:val="center"/>
        <w:rPr>
          <w:rFonts w:hint="eastAsia" w:ascii="方正小标宋_GBK" w:hAnsi="方正小标宋_GBK" w:eastAsia="方正小标宋_GBK" w:cs="方正小标宋_GBK"/>
          <w:color w:val="auto"/>
          <w:sz w:val="32"/>
          <w:szCs w:val="32"/>
          <w:lang w:val="en-US" w:eastAsia="zh-CN"/>
        </w:rPr>
      </w:pPr>
      <w:r>
        <w:rPr>
          <w:rFonts w:hint="eastAsia" w:ascii="方正小标宋_GBK" w:hAnsi="方正小标宋_GBK" w:eastAsia="方正小标宋_GBK" w:cs="方正小标宋_GBK"/>
          <w:color w:val="auto"/>
          <w:sz w:val="32"/>
          <w:szCs w:val="32"/>
          <w:lang w:val="en-US" w:eastAsia="zh-CN"/>
        </w:rPr>
        <w:t>托育中心建设项目设计服务采购服务要求</w:t>
      </w:r>
    </w:p>
    <w:p w14:paraId="13494355">
      <w:pPr>
        <w:adjustRightInd w:val="0"/>
        <w:snapToGrid w:val="0"/>
        <w:spacing w:line="400" w:lineRule="exact"/>
        <w:ind w:firstLine="482" w:firstLineChars="200"/>
        <w:rPr>
          <w:rFonts w:hint="default" w:ascii="Times New Roman" w:hAnsi="Times New Roman" w:eastAsia="方正仿宋_GB2312" w:cs="Times New Roman"/>
          <w:b/>
          <w:bCs/>
          <w:color w:val="auto"/>
          <w:sz w:val="24"/>
        </w:rPr>
      </w:pPr>
      <w:bookmarkStart w:id="0" w:name="_Toc18345"/>
      <w:r>
        <w:rPr>
          <w:rFonts w:hint="default" w:ascii="Times New Roman" w:hAnsi="Times New Roman" w:eastAsia="方正仿宋_GB2312" w:cs="Times New Roman"/>
          <w:b/>
          <w:bCs/>
          <w:color w:val="auto"/>
          <w:sz w:val="24"/>
        </w:rPr>
        <w:t>一、</w:t>
      </w:r>
      <w:bookmarkEnd w:id="0"/>
      <w:r>
        <w:rPr>
          <w:rFonts w:hint="default" w:ascii="Times New Roman" w:hAnsi="Times New Roman" w:eastAsia="方正仿宋_GB2312" w:cs="Times New Roman"/>
          <w:b/>
          <w:bCs/>
          <w:color w:val="auto"/>
          <w:sz w:val="24"/>
        </w:rPr>
        <w:t>项目一览表</w:t>
      </w:r>
    </w:p>
    <w:tbl>
      <w:tblPr>
        <w:tblStyle w:val="7"/>
        <w:tblW w:w="9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2015"/>
        <w:gridCol w:w="2222"/>
      </w:tblGrid>
      <w:tr w14:paraId="5201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5103" w:type="dxa"/>
            <w:tcBorders>
              <w:top w:val="single" w:color="auto" w:sz="4" w:space="0"/>
              <w:left w:val="single" w:color="auto" w:sz="4" w:space="0"/>
              <w:bottom w:val="single" w:color="auto" w:sz="4" w:space="0"/>
              <w:right w:val="single" w:color="auto" w:sz="4" w:space="0"/>
            </w:tcBorders>
            <w:vAlign w:val="center"/>
          </w:tcPr>
          <w:p w14:paraId="79035B31">
            <w:pPr>
              <w:widowControl/>
              <w:spacing w:line="400" w:lineRule="exact"/>
              <w:jc w:val="center"/>
              <w:rPr>
                <w:rFonts w:hint="default" w:ascii="Times New Roman" w:hAnsi="Times New Roman" w:eastAsia="方正仿宋_GB2312" w:cs="Times New Roman"/>
                <w:b/>
                <w:bCs/>
                <w:color w:val="auto"/>
                <w:kern w:val="0"/>
                <w:sz w:val="24"/>
                <w:szCs w:val="24"/>
              </w:rPr>
            </w:pPr>
            <w:bookmarkStart w:id="1" w:name="_Toc513627036"/>
            <w:r>
              <w:rPr>
                <w:rFonts w:hint="default" w:ascii="Times New Roman" w:hAnsi="Times New Roman" w:eastAsia="方正仿宋_GB2312" w:cs="Times New Roman"/>
                <w:b/>
                <w:bCs/>
                <w:color w:val="auto"/>
                <w:kern w:val="0"/>
                <w:sz w:val="24"/>
                <w:szCs w:val="24"/>
              </w:rPr>
              <w:t>项目名称</w:t>
            </w:r>
          </w:p>
        </w:tc>
        <w:tc>
          <w:tcPr>
            <w:tcW w:w="2015" w:type="dxa"/>
            <w:tcBorders>
              <w:top w:val="single" w:color="auto" w:sz="4" w:space="0"/>
              <w:left w:val="nil"/>
              <w:bottom w:val="single" w:color="auto" w:sz="4" w:space="0"/>
              <w:right w:val="single" w:color="auto" w:sz="4" w:space="0"/>
            </w:tcBorders>
            <w:vAlign w:val="center"/>
          </w:tcPr>
          <w:p w14:paraId="7A1F8756">
            <w:pPr>
              <w:spacing w:line="400" w:lineRule="exact"/>
              <w:jc w:val="center"/>
              <w:rPr>
                <w:rFonts w:hint="default" w:ascii="Times New Roman" w:hAnsi="Times New Roman" w:eastAsia="方正仿宋_GB2312" w:cs="Times New Roman"/>
                <w:b/>
                <w:bCs/>
                <w:color w:val="auto"/>
                <w:kern w:val="0"/>
                <w:sz w:val="24"/>
                <w:szCs w:val="24"/>
              </w:rPr>
            </w:pPr>
            <w:r>
              <w:rPr>
                <w:rFonts w:hint="default" w:ascii="Times New Roman" w:hAnsi="Times New Roman" w:eastAsia="方正仿宋_GB2312" w:cs="Times New Roman"/>
                <w:b/>
                <w:bCs/>
                <w:color w:val="auto"/>
                <w:kern w:val="0"/>
                <w:sz w:val="24"/>
                <w:szCs w:val="24"/>
              </w:rPr>
              <w:t>数量/单位</w:t>
            </w:r>
          </w:p>
        </w:tc>
        <w:tc>
          <w:tcPr>
            <w:tcW w:w="2222" w:type="dxa"/>
            <w:tcBorders>
              <w:top w:val="single" w:color="auto" w:sz="4" w:space="0"/>
              <w:left w:val="nil"/>
              <w:bottom w:val="single" w:color="auto" w:sz="4" w:space="0"/>
              <w:right w:val="single" w:color="auto" w:sz="4" w:space="0"/>
            </w:tcBorders>
            <w:vAlign w:val="center"/>
          </w:tcPr>
          <w:p w14:paraId="7FB5F1FC">
            <w:pPr>
              <w:widowControl/>
              <w:spacing w:line="400" w:lineRule="exact"/>
              <w:jc w:val="center"/>
              <w:rPr>
                <w:rFonts w:hint="default" w:ascii="Times New Roman" w:hAnsi="Times New Roman" w:eastAsia="方正仿宋_GB2312" w:cs="Times New Roman"/>
                <w:b/>
                <w:bCs/>
                <w:color w:val="auto"/>
                <w:kern w:val="0"/>
                <w:sz w:val="24"/>
                <w:szCs w:val="24"/>
              </w:rPr>
            </w:pPr>
            <w:r>
              <w:rPr>
                <w:rFonts w:hint="default" w:ascii="Times New Roman" w:hAnsi="Times New Roman" w:eastAsia="方正仿宋_GB2312" w:cs="Times New Roman"/>
                <w:b/>
                <w:bCs/>
                <w:color w:val="auto"/>
                <w:kern w:val="0"/>
                <w:sz w:val="24"/>
                <w:szCs w:val="24"/>
              </w:rPr>
              <w:t>备注</w:t>
            </w:r>
          </w:p>
        </w:tc>
      </w:tr>
      <w:tr w14:paraId="5D1C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03" w:type="dxa"/>
            <w:tcBorders>
              <w:top w:val="single" w:color="auto" w:sz="4" w:space="0"/>
              <w:left w:val="single" w:color="auto" w:sz="4" w:space="0"/>
              <w:bottom w:val="single" w:color="auto" w:sz="4" w:space="0"/>
              <w:right w:val="single" w:color="auto" w:sz="4" w:space="0"/>
            </w:tcBorders>
            <w:vAlign w:val="center"/>
          </w:tcPr>
          <w:p w14:paraId="561AF26C">
            <w:pPr>
              <w:spacing w:line="400" w:lineRule="exact"/>
              <w:jc w:val="center"/>
              <w:rPr>
                <w:rFonts w:hint="default" w:ascii="Times New Roman" w:hAnsi="Times New Roman" w:eastAsia="方正仿宋_GB2312" w:cs="Times New Roman"/>
                <w:color w:val="auto"/>
                <w:sz w:val="24"/>
                <w:szCs w:val="24"/>
                <w:lang w:eastAsia="zh-CN"/>
              </w:rPr>
            </w:pPr>
            <w:r>
              <w:rPr>
                <w:rFonts w:hint="default" w:ascii="Times New Roman" w:hAnsi="Times New Roman" w:eastAsia="方正仿宋_GB2312" w:cs="Times New Roman"/>
                <w:color w:val="auto"/>
                <w:sz w:val="24"/>
                <w:szCs w:val="24"/>
                <w:lang w:val="en-US" w:eastAsia="zh-CN"/>
              </w:rPr>
              <w:t>大足区人民医院托育中心建设项目设计服务</w:t>
            </w:r>
          </w:p>
        </w:tc>
        <w:tc>
          <w:tcPr>
            <w:tcW w:w="2015" w:type="dxa"/>
            <w:tcBorders>
              <w:top w:val="single" w:color="auto" w:sz="4" w:space="0"/>
              <w:left w:val="nil"/>
              <w:bottom w:val="single" w:color="auto" w:sz="4" w:space="0"/>
              <w:right w:val="single" w:color="auto" w:sz="4" w:space="0"/>
            </w:tcBorders>
            <w:vAlign w:val="center"/>
          </w:tcPr>
          <w:p w14:paraId="36980286">
            <w:pPr>
              <w:spacing w:line="400" w:lineRule="exact"/>
              <w:jc w:val="center"/>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1项</w:t>
            </w:r>
          </w:p>
        </w:tc>
        <w:tc>
          <w:tcPr>
            <w:tcW w:w="2222" w:type="dxa"/>
            <w:tcBorders>
              <w:top w:val="single" w:color="auto" w:sz="4" w:space="0"/>
              <w:left w:val="nil"/>
              <w:bottom w:val="single" w:color="auto" w:sz="4" w:space="0"/>
              <w:right w:val="single" w:color="auto" w:sz="4" w:space="0"/>
            </w:tcBorders>
            <w:vAlign w:val="center"/>
          </w:tcPr>
          <w:p w14:paraId="14BBDE70">
            <w:pPr>
              <w:spacing w:line="400" w:lineRule="exact"/>
              <w:jc w:val="center"/>
              <w:rPr>
                <w:rFonts w:hint="default" w:ascii="Times New Roman" w:hAnsi="Times New Roman" w:eastAsia="方正仿宋_GB2312" w:cs="Times New Roman"/>
                <w:color w:val="auto"/>
                <w:sz w:val="24"/>
                <w:szCs w:val="24"/>
              </w:rPr>
            </w:pPr>
          </w:p>
        </w:tc>
      </w:tr>
      <w:bookmarkEnd w:id="1"/>
    </w:tbl>
    <w:p w14:paraId="61DBC4DA">
      <w:pPr>
        <w:pageBreakBefore w:val="0"/>
        <w:widowControl w:val="0"/>
        <w:numPr>
          <w:ilvl w:val="0"/>
          <w:numId w:val="0"/>
        </w:numPr>
        <w:kinsoku/>
        <w:wordWrap/>
        <w:overflowPunct/>
        <w:topLinePunct w:val="0"/>
        <w:autoSpaceDE/>
        <w:autoSpaceDN/>
        <w:bidi w:val="0"/>
        <w:adjustRightInd w:val="0"/>
        <w:snapToGrid w:val="0"/>
        <w:spacing w:line="480" w:lineRule="exact"/>
        <w:ind w:leftChars="200"/>
        <w:textAlignment w:val="auto"/>
        <w:rPr>
          <w:rFonts w:hint="eastAsia" w:ascii="Times New Roman" w:hAnsi="Times New Roman" w:eastAsia="方正仿宋_GB2312" w:cs="Times New Roman"/>
          <w:b/>
          <w:bCs/>
          <w:color w:val="auto"/>
          <w:sz w:val="24"/>
          <w:lang w:val="en-US" w:eastAsia="zh-CN"/>
        </w:rPr>
      </w:pPr>
      <w:bookmarkStart w:id="2" w:name="_Toc76462326"/>
      <w:bookmarkStart w:id="3" w:name="_Toc313536013"/>
      <w:bookmarkStart w:id="4" w:name="_Toc344475116"/>
      <w:bookmarkStart w:id="5" w:name="_Toc9256"/>
      <w:r>
        <w:rPr>
          <w:rFonts w:hint="eastAsia" w:ascii="Times New Roman" w:hAnsi="Times New Roman" w:eastAsia="方正仿宋_GB2312" w:cs="Times New Roman"/>
          <w:b/>
          <w:bCs/>
          <w:color w:val="auto"/>
          <w:sz w:val="24"/>
          <w:lang w:val="en-US" w:eastAsia="zh-CN"/>
        </w:rPr>
        <w:t>二、资质要求</w:t>
      </w:r>
    </w:p>
    <w:p w14:paraId="5B6868A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lang w:val="en-US" w:eastAsia="zh-CN"/>
        </w:rPr>
      </w:pPr>
      <w:r>
        <w:rPr>
          <w:rFonts w:hint="eastAsia" w:ascii="Times New Roman" w:hAnsi="Times New Roman" w:eastAsia="方正仿宋_GB2312" w:cs="Times New Roman"/>
          <w:color w:val="auto"/>
          <w:sz w:val="24"/>
          <w:szCs w:val="24"/>
          <w:lang w:val="en-US" w:eastAsia="zh-CN"/>
        </w:rPr>
        <w:t>具备建设行政主管部门颁发的工程设计综合甲级资质或工程设计建筑行业甲级资质或工程设计建筑行业或建筑装饰设计专项甲级资质（提供有效的资质证书复印件加盖供应商鲜章）。</w:t>
      </w:r>
    </w:p>
    <w:p w14:paraId="557D89D3">
      <w:pPr>
        <w:pageBreakBefore w:val="0"/>
        <w:widowControl w:val="0"/>
        <w:numPr>
          <w:ilvl w:val="0"/>
          <w:numId w:val="0"/>
        </w:numPr>
        <w:kinsoku/>
        <w:wordWrap/>
        <w:overflowPunct/>
        <w:topLinePunct w:val="0"/>
        <w:autoSpaceDE/>
        <w:autoSpaceDN/>
        <w:bidi w:val="0"/>
        <w:adjustRightInd w:val="0"/>
        <w:snapToGrid w:val="0"/>
        <w:spacing w:line="480" w:lineRule="exact"/>
        <w:ind w:leftChars="0" w:firstLine="482" w:firstLineChars="200"/>
        <w:textAlignment w:val="auto"/>
        <w:rPr>
          <w:rFonts w:hint="default" w:ascii="Times New Roman" w:hAnsi="Times New Roman" w:eastAsia="方正仿宋_GB2312" w:cs="Times New Roman"/>
          <w:b/>
          <w:bCs/>
          <w:color w:val="auto"/>
          <w:sz w:val="24"/>
          <w:lang w:val="en-US" w:eastAsia="zh-CN"/>
        </w:rPr>
      </w:pPr>
      <w:r>
        <w:rPr>
          <w:rFonts w:hint="eastAsia" w:ascii="Times New Roman" w:hAnsi="Times New Roman" w:eastAsia="方正仿宋_GB2312" w:cs="Times New Roman"/>
          <w:b/>
          <w:bCs/>
          <w:color w:val="auto"/>
          <w:sz w:val="24"/>
          <w:lang w:val="en-US" w:eastAsia="zh-CN"/>
        </w:rPr>
        <w:t>三</w:t>
      </w:r>
      <w:r>
        <w:rPr>
          <w:rFonts w:hint="default" w:ascii="Times New Roman" w:hAnsi="Times New Roman" w:eastAsia="方正仿宋_GB2312" w:cs="Times New Roman"/>
          <w:b/>
          <w:bCs/>
          <w:color w:val="auto"/>
          <w:sz w:val="24"/>
          <w:lang w:val="en-US" w:eastAsia="zh-CN"/>
        </w:rPr>
        <w:t>、项目内容</w:t>
      </w:r>
    </w:p>
    <w:p w14:paraId="123E348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lang w:eastAsia="zh-CN"/>
        </w:rPr>
      </w:pPr>
      <w:r>
        <w:rPr>
          <w:rFonts w:hint="eastAsia" w:ascii="方正仿宋_GBK" w:hAnsi="方正仿宋_GBK" w:eastAsia="方正仿宋_GBK" w:cs="方正仿宋_GBK"/>
          <w:color w:val="auto"/>
          <w:sz w:val="24"/>
          <w:lang w:val="en-US" w:eastAsia="zh-CN"/>
        </w:rPr>
        <w:t>调整大足区人民医院二期总体规划方案文本，托育中心总建筑面积12000平方米；方案文本为两版，其一为二期工程只设置“托育中心”建筑物，其二为按原“三张清单”布置；方案文本通过相关部门审批</w:t>
      </w:r>
      <w:r>
        <w:rPr>
          <w:rFonts w:hint="eastAsia" w:ascii="方正仿宋_GBK" w:hAnsi="方正仿宋_GBK" w:eastAsia="方正仿宋_GBK" w:cs="方正仿宋_GBK"/>
          <w:color w:val="auto"/>
          <w:sz w:val="24"/>
          <w:lang w:eastAsia="zh-CN"/>
        </w:rPr>
        <w:t>。</w:t>
      </w:r>
      <w:r>
        <w:rPr>
          <w:rFonts w:hint="default" w:ascii="Times New Roman" w:hAnsi="Times New Roman" w:eastAsia="方正仿宋_GB2312" w:cs="Times New Roman"/>
          <w:color w:val="auto"/>
          <w:sz w:val="24"/>
          <w:szCs w:val="24"/>
        </w:rPr>
        <w:t>设计内容包含土建工程，装饰工程，电气工程，暖通工程，给排水工程，海绵城市专项设计等</w:t>
      </w:r>
      <w:r>
        <w:rPr>
          <w:rFonts w:hint="default" w:ascii="Times New Roman" w:hAnsi="Times New Roman" w:eastAsia="方正仿宋_GB2312" w:cs="Times New Roman"/>
          <w:color w:val="auto"/>
          <w:sz w:val="24"/>
          <w:szCs w:val="24"/>
          <w:lang w:eastAsia="zh-CN"/>
        </w:rPr>
        <w:t>内容</w:t>
      </w:r>
      <w:r>
        <w:rPr>
          <w:rFonts w:hint="default" w:ascii="Times New Roman" w:hAnsi="Times New Roman" w:eastAsia="方正仿宋_GB2312" w:cs="Times New Roman"/>
          <w:color w:val="auto"/>
          <w:sz w:val="24"/>
          <w:szCs w:val="24"/>
        </w:rPr>
        <w:t>，</w:t>
      </w:r>
      <w:r>
        <w:rPr>
          <w:rFonts w:hint="eastAsia"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lang w:val="en-US" w:eastAsia="zh-CN"/>
        </w:rPr>
        <w:t>托育中心建设</w:t>
      </w:r>
      <w:r>
        <w:rPr>
          <w:rFonts w:hint="eastAsia"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rPr>
        <w:t>方案文本</w:t>
      </w:r>
      <w:r>
        <w:rPr>
          <w:rFonts w:hint="default" w:ascii="Times New Roman" w:hAnsi="Times New Roman" w:eastAsia="方正仿宋_GB2312" w:cs="Times New Roman"/>
          <w:color w:val="auto"/>
          <w:sz w:val="24"/>
          <w:szCs w:val="24"/>
          <w:lang w:eastAsia="zh-CN"/>
        </w:rPr>
        <w:t>并</w:t>
      </w:r>
      <w:r>
        <w:rPr>
          <w:rFonts w:hint="default" w:ascii="Times New Roman" w:hAnsi="Times New Roman" w:eastAsia="方正仿宋_GB2312" w:cs="Times New Roman"/>
          <w:color w:val="auto"/>
          <w:sz w:val="24"/>
          <w:szCs w:val="24"/>
        </w:rPr>
        <w:t>通过相关部门审批</w:t>
      </w:r>
      <w:r>
        <w:rPr>
          <w:rFonts w:hint="default" w:ascii="Times New Roman" w:hAnsi="Times New Roman" w:eastAsia="方正仿宋_GB2312" w:cs="Times New Roman"/>
          <w:color w:val="auto"/>
          <w:sz w:val="24"/>
          <w:szCs w:val="24"/>
          <w:lang w:eastAsia="zh-CN"/>
        </w:rPr>
        <w:t>。</w:t>
      </w:r>
    </w:p>
    <w:p w14:paraId="3A768937">
      <w:pPr>
        <w:pageBreakBefore w:val="0"/>
        <w:widowControl w:val="0"/>
        <w:numPr>
          <w:ilvl w:val="0"/>
          <w:numId w:val="0"/>
        </w:numPr>
        <w:kinsoku/>
        <w:wordWrap/>
        <w:overflowPunct/>
        <w:topLinePunct w:val="0"/>
        <w:autoSpaceDE/>
        <w:autoSpaceDN/>
        <w:bidi w:val="0"/>
        <w:adjustRightInd w:val="0"/>
        <w:snapToGrid w:val="0"/>
        <w:spacing w:line="480" w:lineRule="exact"/>
        <w:ind w:leftChars="0" w:firstLine="482" w:firstLineChars="200"/>
        <w:textAlignment w:val="auto"/>
        <w:rPr>
          <w:rFonts w:hint="default" w:ascii="Times New Roman" w:hAnsi="Times New Roman" w:eastAsia="方正仿宋_GB2312" w:cs="Times New Roman"/>
          <w:b/>
          <w:bCs/>
          <w:color w:val="auto"/>
          <w:sz w:val="24"/>
          <w:lang w:val="en-US" w:eastAsia="zh-CN"/>
        </w:rPr>
      </w:pPr>
      <w:r>
        <w:rPr>
          <w:rFonts w:hint="eastAsia" w:ascii="Times New Roman" w:hAnsi="Times New Roman" w:eastAsia="方正仿宋_GB2312" w:cs="Times New Roman"/>
          <w:b/>
          <w:bCs/>
          <w:color w:val="auto"/>
          <w:sz w:val="24"/>
          <w:lang w:val="en-US" w:eastAsia="zh-CN"/>
        </w:rPr>
        <w:t>四</w:t>
      </w:r>
      <w:r>
        <w:rPr>
          <w:rFonts w:hint="default" w:ascii="Times New Roman" w:hAnsi="Times New Roman" w:eastAsia="方正仿宋_GB2312" w:cs="Times New Roman"/>
          <w:b/>
          <w:bCs/>
          <w:color w:val="auto"/>
          <w:sz w:val="24"/>
          <w:lang w:val="en-US" w:eastAsia="zh-CN"/>
        </w:rPr>
        <w:t>、服务团队成员</w:t>
      </w:r>
    </w:p>
    <w:p w14:paraId="3B9A38A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1.项目负责人要求：</w:t>
      </w:r>
    </w:p>
    <w:p w14:paraId="2D2121F2">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拟派的项目负责人必须是供应商本单位人员，具备高级及以上(建筑专业)技术职称，具有一级注册建筑师执业资格，并已在供应商本单位注册。</w:t>
      </w:r>
    </w:p>
    <w:p w14:paraId="44B7F88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2.设计团队其他主要人员要求：</w:t>
      </w:r>
    </w:p>
    <w:p w14:paraId="4622A65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工程造价专业负责人1人</w:t>
      </w:r>
      <w:r>
        <w:rPr>
          <w:rFonts w:hint="default"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rPr>
        <w:t>具有一级及以上注册造价工程师（土建）执业资格且必须在供应商本单位注册。</w:t>
      </w:r>
    </w:p>
    <w:p w14:paraId="6C0B4ED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建筑专业负责人1人</w:t>
      </w:r>
      <w:r>
        <w:rPr>
          <w:rFonts w:hint="default"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rPr>
        <w:t>具有一级注册建筑师执业资格且具有工程类专业中级及以上职称；</w:t>
      </w:r>
    </w:p>
    <w:p w14:paraId="073F075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结构专业负责人1人</w:t>
      </w:r>
      <w:r>
        <w:rPr>
          <w:rFonts w:hint="default"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rPr>
        <w:t>具有一级注册结构工程师执业资格且具有工程类专业中级及以上职称；</w:t>
      </w:r>
    </w:p>
    <w:p w14:paraId="71C6A38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给排水专业负责人1</w:t>
      </w:r>
      <w:r>
        <w:rPr>
          <w:rFonts w:hint="default" w:ascii="Times New Roman" w:hAnsi="Times New Roman" w:eastAsia="方正仿宋_GB2312" w:cs="Times New Roman"/>
          <w:color w:val="auto"/>
          <w:sz w:val="24"/>
          <w:szCs w:val="24"/>
          <w:lang w:eastAsia="zh-CN"/>
        </w:rPr>
        <w:t>人：</w:t>
      </w:r>
      <w:r>
        <w:rPr>
          <w:rFonts w:hint="default" w:ascii="Times New Roman" w:hAnsi="Times New Roman" w:eastAsia="方正仿宋_GB2312" w:cs="Times New Roman"/>
          <w:color w:val="auto"/>
          <w:sz w:val="24"/>
          <w:szCs w:val="24"/>
        </w:rPr>
        <w:t>具有注册公用设备工程师（给水排水）执业资格且具有工程类专业中级及以上职称；</w:t>
      </w:r>
    </w:p>
    <w:p w14:paraId="701D779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电气专业负责人1人</w:t>
      </w:r>
      <w:r>
        <w:rPr>
          <w:rFonts w:hint="default" w:ascii="Times New Roman" w:hAnsi="Times New Roman" w:eastAsia="方正仿宋_GB2312" w:cs="Times New Roman"/>
          <w:color w:val="auto"/>
          <w:sz w:val="24"/>
          <w:szCs w:val="24"/>
          <w:lang w:eastAsia="zh-CN"/>
        </w:rPr>
        <w:t>：</w:t>
      </w:r>
      <w:r>
        <w:rPr>
          <w:rFonts w:hint="default" w:ascii="Times New Roman" w:hAnsi="Times New Roman" w:eastAsia="方正仿宋_GB2312" w:cs="Times New Roman"/>
          <w:color w:val="auto"/>
          <w:sz w:val="24"/>
          <w:szCs w:val="24"/>
        </w:rPr>
        <w:t>具有注册电气工程师（供配电）执业资格且具有工程类专业中级及以上职称；</w:t>
      </w:r>
    </w:p>
    <w:p w14:paraId="23DC150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暖通专业负责人1人：具有注册公用设备工程师（暖通空调）执业资格且具有工程类专业中级及以上职称。</w:t>
      </w:r>
    </w:p>
    <w:p w14:paraId="02CB24D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2312" w:cs="Times New Roman"/>
          <w:color w:val="auto"/>
          <w:sz w:val="24"/>
          <w:szCs w:val="24"/>
        </w:rPr>
        <w:t>注：供应商须在响应文件中提供拟派项目负责人、设计团队其他主要人员有效的身份证、职称证、注册证（国家未开展注册工作的，供应商提供执业资格证书即可；注册证书不显示注册执业单位的，注册执业单位以养老保险证明材料为准、供应商为其缴纳的养老保险证明材料。</w:t>
      </w:r>
    </w:p>
    <w:p w14:paraId="23E1018B">
      <w:pPr>
        <w:pStyle w:val="3"/>
        <w:pageBreakBefore w:val="0"/>
        <w:widowControl w:val="0"/>
        <w:kinsoku/>
        <w:wordWrap/>
        <w:overflowPunct/>
        <w:topLinePunct w:val="0"/>
        <w:autoSpaceDE/>
        <w:autoSpaceDN/>
        <w:bidi w:val="0"/>
        <w:spacing w:before="0" w:after="0" w:line="480" w:lineRule="exact"/>
        <w:ind w:leftChars="0" w:firstLine="482" w:firstLineChars="200"/>
        <w:textAlignment w:val="auto"/>
        <w:rPr>
          <w:rFonts w:hint="default" w:ascii="Times New Roman" w:hAnsi="Times New Roman" w:eastAsia="方正仿宋_GB2312" w:cs="Times New Roman"/>
          <w:color w:val="auto"/>
          <w:sz w:val="24"/>
          <w:szCs w:val="24"/>
          <w:lang w:val="en-US" w:eastAsia="zh-CN"/>
        </w:rPr>
      </w:pPr>
      <w:bookmarkStart w:id="6" w:name="_Toc9860"/>
      <w:r>
        <w:rPr>
          <w:rFonts w:hint="eastAsia" w:ascii="Times New Roman" w:hAnsi="Times New Roman" w:eastAsia="方正仿宋_GB2312" w:cs="Times New Roman"/>
          <w:color w:val="auto"/>
          <w:sz w:val="24"/>
          <w:szCs w:val="24"/>
          <w:lang w:val="en-US" w:eastAsia="zh-CN"/>
        </w:rPr>
        <w:t>五</w:t>
      </w:r>
      <w:r>
        <w:rPr>
          <w:rFonts w:hint="default" w:ascii="Times New Roman" w:hAnsi="Times New Roman" w:eastAsia="方正仿宋_GB2312" w:cs="Times New Roman"/>
          <w:color w:val="auto"/>
          <w:sz w:val="24"/>
          <w:szCs w:val="24"/>
          <w:lang w:val="en-US" w:eastAsia="zh-CN"/>
        </w:rPr>
        <w:t>、设计质量要求</w:t>
      </w:r>
      <w:bookmarkEnd w:id="6"/>
    </w:p>
    <w:p w14:paraId="6B37A87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kern w:val="2"/>
          <w:sz w:val="24"/>
          <w:szCs w:val="24"/>
          <w:lang w:val="en-US" w:eastAsia="zh-CN" w:bidi="ar-SA"/>
        </w:rPr>
      </w:pPr>
      <w:r>
        <w:rPr>
          <w:rFonts w:hint="default" w:ascii="Times New Roman" w:hAnsi="Times New Roman" w:eastAsia="方正仿宋_GB2312" w:cs="Times New Roman"/>
          <w:b w:val="0"/>
          <w:bCs w:val="0"/>
          <w:color w:val="auto"/>
          <w:sz w:val="24"/>
          <w:szCs w:val="24"/>
          <w:lang w:val="en-US" w:eastAsia="zh-CN"/>
        </w:rPr>
        <w:t>设计要求的质量标准按照国家技术规范、标准、规程及重庆市相关设计规定，设计深</w:t>
      </w:r>
      <w:r>
        <w:rPr>
          <w:rFonts w:hint="default" w:ascii="Times New Roman" w:hAnsi="Times New Roman" w:eastAsia="方正仿宋_GB2312" w:cs="Times New Roman"/>
          <w:b w:val="0"/>
          <w:bCs w:val="0"/>
          <w:color w:val="auto"/>
          <w:kern w:val="2"/>
          <w:sz w:val="24"/>
          <w:szCs w:val="24"/>
          <w:lang w:val="en-US" w:eastAsia="zh-CN" w:bidi="ar-SA"/>
        </w:rPr>
        <w:t>度达到国家及重庆市设计文件编制深度要求，并能有效指导下一步施工图编制工作。</w:t>
      </w:r>
    </w:p>
    <w:p w14:paraId="19CFBA92">
      <w:pPr>
        <w:pageBreakBefore w:val="0"/>
        <w:widowControl w:val="0"/>
        <w:numPr>
          <w:ilvl w:val="0"/>
          <w:numId w:val="0"/>
        </w:numPr>
        <w:kinsoku/>
        <w:wordWrap/>
        <w:overflowPunct/>
        <w:topLinePunct w:val="0"/>
        <w:autoSpaceDE/>
        <w:autoSpaceDN/>
        <w:bidi w:val="0"/>
        <w:adjustRightInd w:val="0"/>
        <w:snapToGrid w:val="0"/>
        <w:spacing w:line="480" w:lineRule="exact"/>
        <w:ind w:leftChars="0" w:firstLine="482" w:firstLineChars="200"/>
        <w:textAlignment w:val="auto"/>
        <w:rPr>
          <w:rFonts w:hint="default" w:ascii="Times New Roman" w:hAnsi="Times New Roman" w:eastAsia="方正仿宋_GB2312" w:cs="Times New Roman"/>
          <w:b/>
          <w:bCs/>
          <w:color w:val="auto"/>
          <w:sz w:val="24"/>
          <w:lang w:val="en-US" w:eastAsia="zh-CN"/>
        </w:rPr>
      </w:pPr>
      <w:r>
        <w:rPr>
          <w:rFonts w:hint="eastAsia" w:ascii="Times New Roman" w:hAnsi="Times New Roman" w:eastAsia="方正仿宋_GB2312" w:cs="Times New Roman"/>
          <w:b/>
          <w:bCs/>
          <w:color w:val="auto"/>
          <w:sz w:val="24"/>
          <w:lang w:val="en-US" w:eastAsia="zh-CN"/>
        </w:rPr>
        <w:t>六</w:t>
      </w:r>
      <w:r>
        <w:rPr>
          <w:rFonts w:hint="default" w:ascii="Times New Roman" w:hAnsi="Times New Roman" w:eastAsia="方正仿宋_GB2312" w:cs="Times New Roman"/>
          <w:b/>
          <w:bCs/>
          <w:color w:val="auto"/>
          <w:sz w:val="24"/>
          <w:lang w:val="en-US" w:eastAsia="zh-CN"/>
        </w:rPr>
        <w:t>、成果要求</w:t>
      </w:r>
    </w:p>
    <w:p w14:paraId="2710633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rPr>
        <w:t>合同签订后15天内完成并通过方案设计，方案通过后30天内完成初步设计，初步设计通过后30天内完成施工图设计</w:t>
      </w:r>
      <w:r>
        <w:rPr>
          <w:rFonts w:hint="default" w:ascii="Times New Roman" w:hAnsi="Times New Roman" w:eastAsia="方正仿宋_GB2312" w:cs="Times New Roman"/>
          <w:color w:val="auto"/>
          <w:sz w:val="24"/>
          <w:szCs w:val="24"/>
          <w:lang w:eastAsia="zh-CN"/>
        </w:rPr>
        <w:t>，最终需提供通过采购人或行业主管部门审查合格后的纸质方案最终需提供通过甲方或行业主管部门审查合格后的纸质方案设计文本</w:t>
      </w:r>
      <w:r>
        <w:rPr>
          <w:rFonts w:hint="eastAsia" w:ascii="Times New Roman" w:hAnsi="Times New Roman" w:eastAsia="方正仿宋_GB2312" w:cs="Times New Roman"/>
          <w:color w:val="auto"/>
          <w:sz w:val="24"/>
          <w:szCs w:val="24"/>
          <w:lang w:val="en-US" w:eastAsia="zh-CN"/>
        </w:rPr>
        <w:t>4</w:t>
      </w:r>
      <w:r>
        <w:rPr>
          <w:rFonts w:hint="default" w:ascii="Times New Roman" w:hAnsi="Times New Roman" w:eastAsia="方正仿宋_GB2312" w:cs="Times New Roman"/>
          <w:color w:val="auto"/>
          <w:sz w:val="24"/>
          <w:szCs w:val="24"/>
          <w:lang w:eastAsia="zh-CN"/>
        </w:rPr>
        <w:t>份，初设文件（含概算）4份，施工图文件（含预算）</w:t>
      </w:r>
      <w:r>
        <w:rPr>
          <w:rFonts w:hint="eastAsia" w:ascii="Times New Roman" w:hAnsi="Times New Roman" w:eastAsia="方正仿宋_GB2312" w:cs="Times New Roman"/>
          <w:color w:val="auto"/>
          <w:sz w:val="24"/>
          <w:szCs w:val="24"/>
          <w:lang w:val="en-US" w:eastAsia="zh-CN"/>
        </w:rPr>
        <w:t>4</w:t>
      </w:r>
      <w:r>
        <w:rPr>
          <w:rFonts w:hint="default" w:ascii="Times New Roman" w:hAnsi="Times New Roman" w:eastAsia="方正仿宋_GB2312" w:cs="Times New Roman"/>
          <w:color w:val="auto"/>
          <w:sz w:val="24"/>
          <w:szCs w:val="24"/>
          <w:lang w:eastAsia="zh-CN"/>
        </w:rPr>
        <w:t>份，电子文件光盘各3份。</w:t>
      </w:r>
      <w:r>
        <w:rPr>
          <w:rFonts w:hint="default" w:ascii="Times New Roman" w:hAnsi="Times New Roman" w:eastAsia="方正仿宋_GB2312" w:cs="Times New Roman"/>
          <w:color w:val="auto"/>
          <w:sz w:val="24"/>
          <w:szCs w:val="24"/>
          <w:lang w:val="en-US" w:eastAsia="zh-CN"/>
        </w:rPr>
        <w:t>因上级部门需调整项目，设计方案可进行调整。</w:t>
      </w:r>
    </w:p>
    <w:p w14:paraId="16C30C37">
      <w:pPr>
        <w:pageBreakBefore w:val="0"/>
        <w:widowControl w:val="0"/>
        <w:numPr>
          <w:ilvl w:val="0"/>
          <w:numId w:val="0"/>
        </w:numPr>
        <w:kinsoku/>
        <w:wordWrap/>
        <w:overflowPunct/>
        <w:topLinePunct w:val="0"/>
        <w:autoSpaceDE/>
        <w:autoSpaceDN/>
        <w:bidi w:val="0"/>
        <w:adjustRightInd w:val="0"/>
        <w:snapToGrid w:val="0"/>
        <w:spacing w:line="480" w:lineRule="exact"/>
        <w:ind w:leftChars="0" w:firstLine="482" w:firstLineChars="200"/>
        <w:textAlignment w:val="auto"/>
        <w:rPr>
          <w:rFonts w:hint="default" w:ascii="Times New Roman" w:hAnsi="Times New Roman" w:eastAsia="方正仿宋_GB2312" w:cs="Times New Roman"/>
          <w:b/>
          <w:bCs/>
          <w:color w:val="auto"/>
          <w:sz w:val="24"/>
          <w:lang w:val="en-US" w:eastAsia="zh-CN"/>
        </w:rPr>
      </w:pPr>
      <w:r>
        <w:rPr>
          <w:rFonts w:hint="eastAsia" w:ascii="Times New Roman" w:hAnsi="Times New Roman" w:eastAsia="方正仿宋_GB2312" w:cs="Times New Roman"/>
          <w:b/>
          <w:bCs/>
          <w:color w:val="auto"/>
          <w:sz w:val="24"/>
          <w:lang w:val="en-US" w:eastAsia="zh-CN"/>
        </w:rPr>
        <w:t>七</w:t>
      </w:r>
      <w:r>
        <w:rPr>
          <w:rFonts w:hint="default" w:ascii="Times New Roman" w:hAnsi="Times New Roman" w:eastAsia="方正仿宋_GB2312" w:cs="Times New Roman"/>
          <w:b/>
          <w:bCs/>
          <w:color w:val="auto"/>
          <w:sz w:val="24"/>
          <w:lang w:val="en-US" w:eastAsia="zh-CN"/>
        </w:rPr>
        <w:t>、服务期限、地点及验收方式</w:t>
      </w:r>
    </w:p>
    <w:p w14:paraId="7872775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（一）服务时间：合同签订后15天内完成并通过方案设计，方案通过后30天内完成初步设计，初步设计通过后30天内完成施工图设计。</w:t>
      </w:r>
    </w:p>
    <w:p w14:paraId="0C1905E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 xml:space="preserve">（二）服务地点：采购人指定地点 </w:t>
      </w:r>
    </w:p>
    <w:p w14:paraId="14FB50D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（三）验收方式：设计文件须达到国家现行规范及验收合格标准，并通过主管部门审查并取得相关批复或审查合格书。</w:t>
      </w:r>
    </w:p>
    <w:p w14:paraId="0FFD65BA">
      <w:pPr>
        <w:pageBreakBefore w:val="0"/>
        <w:widowControl w:val="0"/>
        <w:numPr>
          <w:ilvl w:val="0"/>
          <w:numId w:val="0"/>
        </w:numPr>
        <w:kinsoku/>
        <w:wordWrap/>
        <w:overflowPunct/>
        <w:topLinePunct w:val="0"/>
        <w:autoSpaceDE/>
        <w:autoSpaceDN/>
        <w:bidi w:val="0"/>
        <w:adjustRightInd w:val="0"/>
        <w:snapToGrid w:val="0"/>
        <w:spacing w:line="480" w:lineRule="exact"/>
        <w:ind w:leftChars="0" w:firstLine="482" w:firstLineChars="200"/>
        <w:textAlignment w:val="auto"/>
        <w:rPr>
          <w:rFonts w:hint="default" w:ascii="Times New Roman" w:hAnsi="Times New Roman" w:eastAsia="方正仿宋_GB2312" w:cs="Times New Roman"/>
          <w:b/>
          <w:bCs/>
          <w:color w:val="auto"/>
          <w:sz w:val="24"/>
          <w:lang w:val="en-US" w:eastAsia="zh-CN"/>
        </w:rPr>
      </w:pPr>
      <w:r>
        <w:rPr>
          <w:rFonts w:hint="eastAsia" w:ascii="Times New Roman" w:hAnsi="Times New Roman" w:eastAsia="方正仿宋_GB2312" w:cs="Times New Roman"/>
          <w:b/>
          <w:bCs/>
          <w:color w:val="auto"/>
          <w:sz w:val="24"/>
          <w:lang w:val="en-US" w:eastAsia="zh-CN"/>
        </w:rPr>
        <w:t>八</w:t>
      </w:r>
      <w:r>
        <w:rPr>
          <w:rFonts w:hint="default" w:ascii="Times New Roman" w:hAnsi="Times New Roman" w:eastAsia="方正仿宋_GB2312" w:cs="Times New Roman"/>
          <w:b/>
          <w:bCs/>
          <w:color w:val="auto"/>
          <w:sz w:val="24"/>
          <w:lang w:val="en-US" w:eastAsia="zh-CN"/>
        </w:rPr>
        <w:t>、报价要求</w:t>
      </w:r>
    </w:p>
    <w:p w14:paraId="234BEC7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（一）计价原则与计费方式</w:t>
      </w:r>
    </w:p>
    <w:p w14:paraId="09A00A1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1.计费基数：</w:t>
      </w:r>
    </w:p>
    <w:p w14:paraId="18A7674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设计费以本项目主体建筑面积的设计面积*单价作为设计费用。（建筑面积12000平方米，设计范围包包含土建工程，装饰工程，电气工程，暖通工程，给排水工程，海绵城市专项设计等内容，设计阶段包括方案、初步设计图、施工设计图等。）</w:t>
      </w:r>
    </w:p>
    <w:p w14:paraId="2344BE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2.设计费用报价：供应商以100%为最高限价，自报投标折扣率。</w:t>
      </w:r>
    </w:p>
    <w:p w14:paraId="3197AA9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3.结算公式：实际设计费 = 设计收费基价*成交折扣率</w:t>
      </w:r>
    </w:p>
    <w:p w14:paraId="75BC6DD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4.费用调整：设计费按实际完成服务内容据实结算（最终结算金额不超过30万元），计费基数、收费基价及折扣率在合同执行期内不作调整。</w:t>
      </w:r>
    </w:p>
    <w:p w14:paraId="1E9A4A3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（二）服务费用的内容</w:t>
      </w:r>
    </w:p>
    <w:p w14:paraId="6075415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服务费用包括为实施和完成项目全部设计费、管理费、设计变更费、专家评审费（会务费）、资料费、差旅费、工资、劳保、医疗、津贴、利润、税金、保险费等一切可预见和不可预见费用。因成交供应商自身原因造成漏报、少报皆由其自行承担责任，采购人不再补偿任何费用。</w:t>
      </w:r>
    </w:p>
    <w:p w14:paraId="09C09A9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（三）设计费的调整</w:t>
      </w:r>
    </w:p>
    <w:p w14:paraId="4FA20FA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因供应商提供的设计方案设计深度不够，造成增加成本的变更,每项应减收该项目应收设计费的百分之一。</w:t>
      </w:r>
    </w:p>
    <w:p w14:paraId="5D23DB0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九</w:t>
      </w:r>
      <w:r>
        <w:rPr>
          <w:rFonts w:hint="default" w:ascii="Times New Roman" w:hAnsi="Times New Roman" w:eastAsia="方正仿宋_GB2312" w:cs="Times New Roman"/>
          <w:b/>
          <w:bCs/>
          <w:color w:val="auto"/>
          <w:sz w:val="24"/>
          <w:szCs w:val="24"/>
          <w:lang w:val="en-US" w:eastAsia="zh-CN"/>
        </w:rPr>
        <w:t>、付款方式</w:t>
      </w:r>
    </w:p>
    <w:p w14:paraId="0CC8399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设计方案及初设通过，取得投资概算批复后付款4万元（项目未申报成功不再支付余下设计费用，项目申报成功后按合同约定支付其余金额）；项目申报成功后，施工图审查合格付款至合同价90%，竣工验收通过后付清尾款。（每次支付前供应商应向采购人开具对应金额的增值税发票。）</w:t>
      </w:r>
    </w:p>
    <w:p w14:paraId="4277F02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十</w:t>
      </w:r>
      <w:r>
        <w:rPr>
          <w:rFonts w:hint="default" w:ascii="Times New Roman" w:hAnsi="Times New Roman" w:eastAsia="方正仿宋_GB2312" w:cs="Times New Roman"/>
          <w:b/>
          <w:bCs/>
          <w:color w:val="auto"/>
          <w:sz w:val="24"/>
          <w:szCs w:val="24"/>
          <w:lang w:val="en-US" w:eastAsia="zh-CN"/>
        </w:rPr>
        <w:t>、违约责任</w:t>
      </w:r>
    </w:p>
    <w:p w14:paraId="2C2223D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合同签订后15天内完成并通过方案设计，方案通过后30天内完成初步设计，初步设计通过后30天内完成施工图设计，逾期赔付违约金1000元/天。</w:t>
      </w:r>
    </w:p>
    <w:p w14:paraId="176AA27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十一</w:t>
      </w:r>
      <w:r>
        <w:rPr>
          <w:rFonts w:hint="default" w:ascii="Times New Roman" w:hAnsi="Times New Roman" w:eastAsia="方正仿宋_GB2312" w:cs="Times New Roman"/>
          <w:b/>
          <w:bCs/>
          <w:color w:val="auto"/>
          <w:sz w:val="24"/>
          <w:szCs w:val="24"/>
          <w:lang w:val="en-US" w:eastAsia="zh-CN"/>
        </w:rPr>
        <w:t>、知识产权</w:t>
      </w:r>
    </w:p>
    <w:p w14:paraId="1DD8DE3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采购人在中华人民共和国境内使用供应商提供的服务时免受第三方提出的侵犯其专利权或其它知识产权的起诉。如果第三方提出侵权指控，成交供应商应承担由此而引起的一切法律责任和费用。</w:t>
      </w:r>
    </w:p>
    <w:p w14:paraId="298BC44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本项目所涉及的知识产权归采购人所有。</w:t>
      </w:r>
    </w:p>
    <w:p w14:paraId="02B193C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十二</w:t>
      </w:r>
      <w:r>
        <w:rPr>
          <w:rFonts w:hint="default" w:ascii="Times New Roman" w:hAnsi="Times New Roman" w:eastAsia="方正仿宋_GB2312" w:cs="Times New Roman"/>
          <w:b/>
          <w:bCs/>
          <w:color w:val="auto"/>
          <w:sz w:val="24"/>
          <w:szCs w:val="24"/>
          <w:lang w:val="en-US" w:eastAsia="zh-CN"/>
        </w:rPr>
        <w:t>、不可抗力</w:t>
      </w:r>
    </w:p>
    <w:p w14:paraId="5BE8A3E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方正仿宋_GB2312" w:cs="Times New Roman"/>
          <w:b w:val="0"/>
          <w:bCs w:val="0"/>
          <w:color w:val="auto"/>
          <w:sz w:val="24"/>
          <w:szCs w:val="24"/>
          <w:lang w:val="en-US" w:eastAsia="zh-CN"/>
        </w:rPr>
      </w:pPr>
      <w:r>
        <w:rPr>
          <w:rFonts w:hint="default" w:ascii="Times New Roman" w:hAnsi="Times New Roman" w:eastAsia="方正仿宋_GB2312" w:cs="Times New Roman"/>
          <w:b w:val="0"/>
          <w:bCs w:val="0"/>
          <w:color w:val="auto"/>
          <w:sz w:val="24"/>
          <w:szCs w:val="24"/>
          <w:lang w:val="en-US" w:eastAsia="zh-CN"/>
        </w:rPr>
        <w:t>因相关政策调整等不可抗力原因致使项目取消或延期或调整的，或因客观原因致使合同无法订立或订立后因无法履行而解除的，采购人不承担任何责任。</w:t>
      </w:r>
    </w:p>
    <w:p w14:paraId="0697512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十三</w:t>
      </w:r>
      <w:r>
        <w:rPr>
          <w:rFonts w:hint="default" w:ascii="Times New Roman" w:hAnsi="Times New Roman" w:eastAsia="方正仿宋_GB2312" w:cs="Times New Roman"/>
          <w:b/>
          <w:bCs/>
          <w:color w:val="auto"/>
          <w:sz w:val="24"/>
          <w:szCs w:val="24"/>
          <w:lang w:val="en-US" w:eastAsia="zh-CN"/>
        </w:rPr>
        <w:t>、其他</w:t>
      </w:r>
    </w:p>
    <w:p w14:paraId="1E8B5E1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default"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1.</w:t>
      </w:r>
      <w:r>
        <w:rPr>
          <w:rFonts w:hint="eastAsia" w:ascii="方正仿宋_GBK" w:hAnsi="方正仿宋_GBK" w:eastAsia="方正仿宋_GBK" w:cs="方正仿宋_GBK"/>
          <w:b w:val="0"/>
          <w:bCs w:val="0"/>
          <w:sz w:val="24"/>
          <w:lang w:eastAsia="zh-CN"/>
        </w:rPr>
        <w:t>提供大足区</w:t>
      </w:r>
      <w:r>
        <w:rPr>
          <w:rFonts w:hint="eastAsia" w:ascii="方正仿宋_GBK" w:hAnsi="方正仿宋_GBK" w:eastAsia="方正仿宋_GBK" w:cs="方正仿宋_GBK"/>
          <w:b w:val="0"/>
          <w:bCs w:val="0"/>
          <w:sz w:val="24"/>
          <w:lang w:val="en-US" w:eastAsia="zh-CN"/>
        </w:rPr>
        <w:t>人民医院托育工程</w:t>
      </w:r>
      <w:r>
        <w:rPr>
          <w:rFonts w:hint="eastAsia" w:ascii="方正仿宋_GBK" w:hAnsi="方正仿宋_GBK" w:eastAsia="方正仿宋_GBK" w:cs="方正仿宋_GBK"/>
          <w:b w:val="0"/>
          <w:bCs w:val="0"/>
          <w:sz w:val="24"/>
          <w:lang w:eastAsia="zh-CN"/>
        </w:rPr>
        <w:t>建设项目设计相关技术支持与咨询服务</w:t>
      </w:r>
      <w:bookmarkEnd w:id="2"/>
      <w:bookmarkEnd w:id="3"/>
      <w:bookmarkEnd w:id="4"/>
      <w:bookmarkEnd w:id="5"/>
    </w:p>
    <w:p w14:paraId="35B8F77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2.</w:t>
      </w:r>
      <w:r>
        <w:rPr>
          <w:rFonts w:hint="default" w:ascii="方正仿宋_GBK" w:hAnsi="方正仿宋_GBK" w:eastAsia="方正仿宋_GBK" w:cs="方正仿宋_GBK"/>
          <w:b w:val="0"/>
          <w:bCs w:val="0"/>
          <w:sz w:val="24"/>
          <w:lang w:val="en-US" w:eastAsia="zh-CN"/>
        </w:rPr>
        <w:t>其他未尽事宜由供需双方在采购合同中详细约定。</w:t>
      </w:r>
    </w:p>
    <w:p w14:paraId="37DAFEF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方正仿宋_GB2312" w:cs="Times New Roman"/>
          <w:b/>
          <w:bCs/>
          <w:color w:val="auto"/>
          <w:sz w:val="24"/>
          <w:szCs w:val="24"/>
          <w:lang w:val="en-US" w:eastAsia="zh-CN"/>
        </w:rPr>
      </w:pPr>
      <w:r>
        <w:rPr>
          <w:rFonts w:hint="eastAsia" w:ascii="Times New Roman" w:hAnsi="Times New Roman" w:eastAsia="方正仿宋_GB2312" w:cs="Times New Roman"/>
          <w:b/>
          <w:bCs/>
          <w:color w:val="auto"/>
          <w:sz w:val="24"/>
          <w:szCs w:val="24"/>
          <w:lang w:val="en-US" w:eastAsia="zh-CN"/>
        </w:rPr>
        <w:t>十四、评分标准</w:t>
      </w:r>
    </w:p>
    <w:tbl>
      <w:tblPr>
        <w:tblStyle w:val="7"/>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238"/>
        <w:gridCol w:w="1094"/>
        <w:gridCol w:w="4816"/>
        <w:gridCol w:w="2055"/>
      </w:tblGrid>
      <w:tr w14:paraId="0A64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noWrap w:val="0"/>
            <w:vAlign w:val="center"/>
          </w:tcPr>
          <w:p w14:paraId="638D6FD4">
            <w:pPr>
              <w:keepNext w:val="0"/>
              <w:keepLines w:val="0"/>
              <w:pageBreakBefore w:val="0"/>
              <w:kinsoku/>
              <w:wordWrap/>
              <w:overflowPunct/>
              <w:topLinePunct w:val="0"/>
              <w:autoSpaceDE/>
              <w:autoSpaceDN/>
              <w:bidi w:val="0"/>
              <w:adjustRightInd/>
              <w:snapToGrid/>
              <w:spacing w:line="400" w:lineRule="exact"/>
              <w:ind w:firstLine="28"/>
              <w:jc w:val="center"/>
              <w:textAlignment w:val="auto"/>
              <w:rPr>
                <w:rFonts w:hint="default" w:ascii="Times New Roman" w:hAnsi="Times New Roman" w:eastAsia="方正仿宋_GBK" w:cs="Times New Roman"/>
                <w:b w:val="0"/>
                <w:bCs/>
                <w:color w:val="auto"/>
                <w:sz w:val="24"/>
                <w:szCs w:val="24"/>
              </w:rPr>
            </w:pPr>
            <w:r>
              <w:rPr>
                <w:rFonts w:hint="default" w:ascii="Times New Roman" w:hAnsi="Times New Roman" w:eastAsia="方正仿宋_GBK" w:cs="Times New Roman"/>
                <w:b w:val="0"/>
                <w:bCs/>
                <w:color w:val="auto"/>
                <w:sz w:val="24"/>
                <w:szCs w:val="24"/>
              </w:rPr>
              <w:t>序号</w:t>
            </w:r>
          </w:p>
        </w:tc>
        <w:tc>
          <w:tcPr>
            <w:tcW w:w="1238" w:type="dxa"/>
            <w:noWrap w:val="0"/>
            <w:vAlign w:val="center"/>
          </w:tcPr>
          <w:p w14:paraId="51E01169">
            <w:pPr>
              <w:keepNext w:val="0"/>
              <w:keepLines w:val="0"/>
              <w:pageBreakBefore w:val="0"/>
              <w:kinsoku/>
              <w:wordWrap/>
              <w:overflowPunct/>
              <w:topLinePunct w:val="0"/>
              <w:autoSpaceDE/>
              <w:autoSpaceDN/>
              <w:bidi w:val="0"/>
              <w:adjustRightInd/>
              <w:snapToGrid/>
              <w:spacing w:line="400" w:lineRule="exact"/>
              <w:ind w:firstLine="28"/>
              <w:jc w:val="center"/>
              <w:textAlignment w:val="auto"/>
              <w:rPr>
                <w:rFonts w:hint="default" w:ascii="Times New Roman" w:hAnsi="Times New Roman" w:eastAsia="方正仿宋_GBK" w:cs="Times New Roman"/>
                <w:b w:val="0"/>
                <w:bCs/>
                <w:color w:val="auto"/>
                <w:sz w:val="24"/>
                <w:szCs w:val="24"/>
              </w:rPr>
            </w:pPr>
            <w:r>
              <w:rPr>
                <w:rFonts w:hint="default" w:ascii="Times New Roman" w:hAnsi="Times New Roman" w:eastAsia="方正仿宋_GBK" w:cs="Times New Roman"/>
                <w:b w:val="0"/>
                <w:bCs/>
                <w:color w:val="auto"/>
                <w:sz w:val="24"/>
                <w:szCs w:val="24"/>
              </w:rPr>
              <w:t>评分因素及权重</w:t>
            </w:r>
          </w:p>
        </w:tc>
        <w:tc>
          <w:tcPr>
            <w:tcW w:w="1094" w:type="dxa"/>
            <w:noWrap w:val="0"/>
            <w:vAlign w:val="center"/>
          </w:tcPr>
          <w:p w14:paraId="013CDD66">
            <w:pPr>
              <w:keepNext w:val="0"/>
              <w:keepLines w:val="0"/>
              <w:pageBreakBefore w:val="0"/>
              <w:kinsoku/>
              <w:wordWrap/>
              <w:overflowPunct/>
              <w:topLinePunct w:val="0"/>
              <w:autoSpaceDE/>
              <w:autoSpaceDN/>
              <w:bidi w:val="0"/>
              <w:adjustRightInd/>
              <w:snapToGrid/>
              <w:spacing w:line="400" w:lineRule="exact"/>
              <w:ind w:firstLine="28"/>
              <w:jc w:val="center"/>
              <w:textAlignment w:val="auto"/>
              <w:rPr>
                <w:rFonts w:hint="default" w:ascii="Times New Roman" w:hAnsi="Times New Roman" w:eastAsia="方正仿宋_GBK" w:cs="Times New Roman"/>
                <w:b w:val="0"/>
                <w:bCs/>
                <w:color w:val="auto"/>
                <w:sz w:val="24"/>
                <w:szCs w:val="24"/>
              </w:rPr>
            </w:pPr>
            <w:r>
              <w:rPr>
                <w:rFonts w:hint="default" w:ascii="Times New Roman" w:hAnsi="Times New Roman" w:eastAsia="方正仿宋_GBK" w:cs="Times New Roman"/>
                <w:b w:val="0"/>
                <w:bCs/>
                <w:color w:val="auto"/>
                <w:sz w:val="24"/>
                <w:szCs w:val="24"/>
              </w:rPr>
              <w:t>分值</w:t>
            </w:r>
          </w:p>
        </w:tc>
        <w:tc>
          <w:tcPr>
            <w:tcW w:w="4816" w:type="dxa"/>
            <w:noWrap w:val="0"/>
            <w:vAlign w:val="center"/>
          </w:tcPr>
          <w:p w14:paraId="62776017">
            <w:pPr>
              <w:keepNext w:val="0"/>
              <w:keepLines w:val="0"/>
              <w:pageBreakBefore w:val="0"/>
              <w:kinsoku/>
              <w:wordWrap/>
              <w:overflowPunct/>
              <w:topLinePunct w:val="0"/>
              <w:autoSpaceDE/>
              <w:autoSpaceDN/>
              <w:bidi w:val="0"/>
              <w:adjustRightInd/>
              <w:snapToGrid/>
              <w:spacing w:line="400" w:lineRule="exact"/>
              <w:ind w:firstLine="28"/>
              <w:jc w:val="center"/>
              <w:textAlignment w:val="auto"/>
              <w:rPr>
                <w:rFonts w:hint="default" w:ascii="Times New Roman" w:hAnsi="Times New Roman" w:eastAsia="方正仿宋_GBK" w:cs="Times New Roman"/>
                <w:b w:val="0"/>
                <w:bCs/>
                <w:color w:val="auto"/>
                <w:sz w:val="24"/>
                <w:szCs w:val="24"/>
              </w:rPr>
            </w:pPr>
            <w:r>
              <w:rPr>
                <w:rFonts w:hint="default" w:ascii="Times New Roman" w:hAnsi="Times New Roman" w:eastAsia="方正仿宋_GBK" w:cs="Times New Roman"/>
                <w:b w:val="0"/>
                <w:bCs/>
                <w:color w:val="auto"/>
                <w:sz w:val="24"/>
                <w:szCs w:val="24"/>
              </w:rPr>
              <w:t>评分标准</w:t>
            </w:r>
          </w:p>
        </w:tc>
        <w:tc>
          <w:tcPr>
            <w:tcW w:w="2055" w:type="dxa"/>
            <w:noWrap w:val="0"/>
            <w:vAlign w:val="center"/>
          </w:tcPr>
          <w:p w14:paraId="7EFCC1C8">
            <w:pPr>
              <w:pStyle w:val="19"/>
              <w:keepNext w:val="0"/>
              <w:keepLines w:val="0"/>
              <w:pageBreakBefore w:val="0"/>
              <w:kinsoku/>
              <w:wordWrap/>
              <w:overflowPunct/>
              <w:topLinePunct w:val="0"/>
              <w:autoSpaceDE/>
              <w:autoSpaceDN/>
              <w:bidi w:val="0"/>
              <w:adjustRightInd/>
              <w:snapToGrid/>
              <w:spacing w:before="0" w:after="0" w:line="400" w:lineRule="exact"/>
              <w:textAlignment w:val="auto"/>
              <w:rPr>
                <w:rFonts w:hint="default" w:ascii="Times New Roman" w:hAnsi="Times New Roman" w:eastAsia="方正仿宋_GBK" w:cs="Times New Roman"/>
                <w:b w:val="0"/>
                <w:bCs/>
                <w:color w:val="auto"/>
                <w:sz w:val="24"/>
                <w:szCs w:val="24"/>
              </w:rPr>
            </w:pPr>
            <w:r>
              <w:rPr>
                <w:rFonts w:hint="default" w:ascii="Times New Roman" w:hAnsi="Times New Roman" w:eastAsia="方正仿宋_GBK" w:cs="Times New Roman"/>
                <w:b w:val="0"/>
                <w:bCs/>
                <w:color w:val="auto"/>
                <w:sz w:val="24"/>
                <w:szCs w:val="24"/>
              </w:rPr>
              <w:t>说明</w:t>
            </w:r>
          </w:p>
        </w:tc>
      </w:tr>
      <w:tr w14:paraId="1EE1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noWrap w:val="0"/>
            <w:vAlign w:val="center"/>
          </w:tcPr>
          <w:p w14:paraId="31D4E2ED">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1</w:t>
            </w:r>
          </w:p>
        </w:tc>
        <w:tc>
          <w:tcPr>
            <w:tcW w:w="1238" w:type="dxa"/>
            <w:noWrap w:val="0"/>
            <w:vAlign w:val="center"/>
          </w:tcPr>
          <w:p w14:paraId="00F096F9">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lang w:eastAsia="zh-CN"/>
              </w:rPr>
              <w:t>询比报价</w:t>
            </w:r>
            <w:r>
              <w:rPr>
                <w:rFonts w:hint="default" w:ascii="Times New Roman" w:hAnsi="Times New Roman" w:eastAsia="方正仿宋_GBK" w:cs="Times New Roman"/>
                <w:b w:val="0"/>
                <w:bCs/>
                <w:color w:val="auto"/>
                <w:kern w:val="2"/>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rPr>
              <w:t>30</w:t>
            </w:r>
            <w:r>
              <w:rPr>
                <w:rFonts w:hint="default" w:ascii="Times New Roman" w:hAnsi="Times New Roman" w:eastAsia="方正仿宋_GBK" w:cs="Times New Roman"/>
                <w:b w:val="0"/>
                <w:bCs/>
                <w:color w:val="auto"/>
                <w:kern w:val="2"/>
                <w:sz w:val="24"/>
                <w:szCs w:val="24"/>
                <w:highlight w:val="none"/>
              </w:rPr>
              <w:t>%）</w:t>
            </w:r>
          </w:p>
        </w:tc>
        <w:tc>
          <w:tcPr>
            <w:tcW w:w="1094" w:type="dxa"/>
            <w:noWrap w:val="0"/>
            <w:vAlign w:val="center"/>
          </w:tcPr>
          <w:p w14:paraId="656539BE">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lang w:val="en-US" w:eastAsia="zh-CN"/>
              </w:rPr>
              <w:t>30</w:t>
            </w:r>
            <w:r>
              <w:rPr>
                <w:rFonts w:hint="default" w:ascii="Times New Roman" w:hAnsi="Times New Roman" w:eastAsia="方正仿宋_GBK" w:cs="Times New Roman"/>
                <w:b w:val="0"/>
                <w:bCs/>
                <w:color w:val="auto"/>
                <w:kern w:val="2"/>
                <w:sz w:val="24"/>
                <w:szCs w:val="24"/>
                <w:highlight w:val="none"/>
              </w:rPr>
              <w:t>分</w:t>
            </w:r>
          </w:p>
        </w:tc>
        <w:tc>
          <w:tcPr>
            <w:tcW w:w="4816" w:type="dxa"/>
            <w:noWrap w:val="0"/>
            <w:vAlign w:val="center"/>
          </w:tcPr>
          <w:p w14:paraId="1F4723C9">
            <w:pPr>
              <w:keepNext w:val="0"/>
              <w:keepLines w:val="0"/>
              <w:pageBreakBefore w:val="0"/>
              <w:widowControl/>
              <w:kinsoku/>
              <w:wordWrap/>
              <w:overflowPunct/>
              <w:topLinePunct w:val="0"/>
              <w:autoSpaceDE/>
              <w:autoSpaceDN/>
              <w:bidi w:val="0"/>
              <w:adjustRightInd/>
              <w:snapToGrid/>
              <w:spacing w:line="400" w:lineRule="exact"/>
              <w:ind w:left="0" w:firstLine="0" w:firstLineChars="0"/>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有效的</w:t>
            </w:r>
            <w:r>
              <w:rPr>
                <w:rFonts w:hint="default" w:ascii="Times New Roman" w:hAnsi="Times New Roman" w:eastAsia="方正仿宋_GBK" w:cs="Times New Roman"/>
                <w:color w:val="auto"/>
                <w:sz w:val="24"/>
                <w:szCs w:val="24"/>
                <w:highlight w:val="none"/>
                <w:lang w:eastAsia="zh-CN"/>
              </w:rPr>
              <w:t>询比</w:t>
            </w:r>
            <w:r>
              <w:rPr>
                <w:rFonts w:hint="default" w:ascii="Times New Roman" w:hAnsi="Times New Roman" w:eastAsia="方正仿宋_GBK" w:cs="Times New Roman"/>
                <w:color w:val="auto"/>
                <w:sz w:val="24"/>
                <w:szCs w:val="24"/>
                <w:highlight w:val="none"/>
              </w:rPr>
              <w:t>报价中的最低价为</w:t>
            </w:r>
            <w:r>
              <w:rPr>
                <w:rFonts w:hint="default" w:ascii="Times New Roman" w:hAnsi="Times New Roman" w:eastAsia="方正仿宋_GBK" w:cs="Times New Roman"/>
                <w:color w:val="auto"/>
                <w:sz w:val="24"/>
                <w:szCs w:val="24"/>
                <w:highlight w:val="none"/>
                <w:lang w:eastAsia="zh-CN"/>
              </w:rPr>
              <w:t>询比评审</w:t>
            </w:r>
            <w:r>
              <w:rPr>
                <w:rFonts w:hint="default" w:ascii="Times New Roman" w:hAnsi="Times New Roman" w:eastAsia="方正仿宋_GBK" w:cs="Times New Roman"/>
                <w:color w:val="auto"/>
                <w:sz w:val="24"/>
                <w:szCs w:val="24"/>
                <w:highlight w:val="none"/>
              </w:rPr>
              <w:t>基准价，按照下列公式计算每个</w:t>
            </w:r>
            <w:r>
              <w:rPr>
                <w:rFonts w:hint="default" w:ascii="Times New Roman" w:hAnsi="Times New Roman" w:eastAsia="方正仿宋_GBK" w:cs="Times New Roman"/>
                <w:color w:val="auto"/>
                <w:sz w:val="24"/>
                <w:szCs w:val="24"/>
                <w:highlight w:val="none"/>
                <w:lang w:eastAsia="zh-CN"/>
              </w:rPr>
              <w:t>供应商</w:t>
            </w:r>
            <w:r>
              <w:rPr>
                <w:rFonts w:hint="default" w:ascii="Times New Roman" w:hAnsi="Times New Roman" w:eastAsia="方正仿宋_GBK" w:cs="Times New Roman"/>
                <w:color w:val="auto"/>
                <w:sz w:val="24"/>
                <w:szCs w:val="24"/>
                <w:highlight w:val="none"/>
              </w:rPr>
              <w:t>的</w:t>
            </w:r>
            <w:r>
              <w:rPr>
                <w:rFonts w:hint="default" w:ascii="Times New Roman" w:hAnsi="Times New Roman" w:eastAsia="方正仿宋_GBK" w:cs="Times New Roman"/>
                <w:color w:val="auto"/>
                <w:sz w:val="24"/>
                <w:szCs w:val="24"/>
                <w:highlight w:val="none"/>
                <w:lang w:eastAsia="zh-CN"/>
              </w:rPr>
              <w:t>磋商</w:t>
            </w:r>
            <w:r>
              <w:rPr>
                <w:rFonts w:hint="default" w:ascii="Times New Roman" w:hAnsi="Times New Roman" w:eastAsia="方正仿宋_GBK" w:cs="Times New Roman"/>
                <w:color w:val="auto"/>
                <w:sz w:val="24"/>
                <w:szCs w:val="24"/>
                <w:highlight w:val="none"/>
              </w:rPr>
              <w:t>价格得分。</w:t>
            </w:r>
          </w:p>
          <w:p w14:paraId="2EC70E95">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lang w:eastAsia="zh-CN"/>
              </w:rPr>
            </w:pPr>
            <w:r>
              <w:rPr>
                <w:rFonts w:hint="default" w:ascii="Times New Roman" w:hAnsi="Times New Roman" w:eastAsia="方正仿宋_GBK" w:cs="Times New Roman"/>
                <w:color w:val="auto"/>
                <w:sz w:val="24"/>
                <w:szCs w:val="24"/>
                <w:highlight w:val="none"/>
                <w:lang w:eastAsia="zh-CN"/>
              </w:rPr>
              <w:t>询比报价</w:t>
            </w:r>
            <w:r>
              <w:rPr>
                <w:rFonts w:hint="default" w:ascii="Times New Roman" w:hAnsi="Times New Roman" w:eastAsia="方正仿宋_GBK" w:cs="Times New Roman"/>
                <w:color w:val="auto"/>
                <w:sz w:val="24"/>
                <w:szCs w:val="24"/>
                <w:highlight w:val="none"/>
              </w:rPr>
              <w:t>得分＝（</w:t>
            </w:r>
            <w:r>
              <w:rPr>
                <w:rFonts w:hint="default" w:ascii="Times New Roman" w:hAnsi="Times New Roman" w:eastAsia="方正仿宋_GBK" w:cs="Times New Roman"/>
                <w:color w:val="auto"/>
                <w:sz w:val="24"/>
                <w:szCs w:val="24"/>
                <w:highlight w:val="none"/>
                <w:lang w:eastAsia="zh-CN"/>
              </w:rPr>
              <w:t>评审</w:t>
            </w:r>
            <w:r>
              <w:rPr>
                <w:rFonts w:hint="default" w:ascii="Times New Roman" w:hAnsi="Times New Roman" w:eastAsia="方正仿宋_GBK" w:cs="Times New Roman"/>
                <w:color w:val="auto"/>
                <w:sz w:val="24"/>
                <w:szCs w:val="24"/>
                <w:highlight w:val="none"/>
              </w:rPr>
              <w:t>基准价/</w:t>
            </w:r>
            <w:r>
              <w:rPr>
                <w:rFonts w:hint="default" w:ascii="Times New Roman" w:hAnsi="Times New Roman" w:eastAsia="方正仿宋_GBK" w:cs="Times New Roman"/>
                <w:color w:val="auto"/>
                <w:sz w:val="24"/>
                <w:szCs w:val="24"/>
                <w:highlight w:val="none"/>
                <w:lang w:eastAsia="zh-CN"/>
              </w:rPr>
              <w:t>询比</w:t>
            </w:r>
            <w:r>
              <w:rPr>
                <w:rFonts w:hint="default" w:ascii="Times New Roman" w:hAnsi="Times New Roman" w:eastAsia="方正仿宋_GBK" w:cs="Times New Roman"/>
                <w:color w:val="auto"/>
                <w:sz w:val="24"/>
                <w:szCs w:val="24"/>
                <w:highlight w:val="none"/>
              </w:rPr>
              <w:t>报价）×价格权重×100。</w:t>
            </w:r>
          </w:p>
        </w:tc>
        <w:tc>
          <w:tcPr>
            <w:tcW w:w="2055" w:type="dxa"/>
            <w:noWrap w:val="0"/>
            <w:vAlign w:val="center"/>
          </w:tcPr>
          <w:p w14:paraId="6C05816B">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lang w:eastAsia="zh-CN"/>
              </w:rPr>
            </w:pPr>
            <w:r>
              <w:rPr>
                <w:rFonts w:hint="default" w:ascii="Times New Roman" w:hAnsi="Times New Roman" w:eastAsia="方正仿宋_GBK" w:cs="Times New Roman"/>
                <w:b w:val="0"/>
                <w:bCs/>
                <w:color w:val="auto"/>
                <w:kern w:val="2"/>
                <w:sz w:val="24"/>
                <w:szCs w:val="24"/>
                <w:highlight w:val="none"/>
              </w:rPr>
              <w:t>高于</w:t>
            </w:r>
            <w:r>
              <w:rPr>
                <w:rFonts w:hint="default" w:ascii="Times New Roman" w:hAnsi="Times New Roman" w:eastAsia="方正仿宋_GBK" w:cs="Times New Roman"/>
                <w:b w:val="0"/>
                <w:bCs/>
                <w:color w:val="auto"/>
                <w:kern w:val="2"/>
                <w:sz w:val="24"/>
                <w:szCs w:val="24"/>
                <w:highlight w:val="none"/>
                <w:lang w:val="en-US" w:eastAsia="zh-CN"/>
              </w:rPr>
              <w:t>最高限</w:t>
            </w:r>
            <w:r>
              <w:rPr>
                <w:rFonts w:hint="default" w:ascii="Times New Roman" w:hAnsi="Times New Roman" w:eastAsia="方正仿宋_GBK" w:cs="Times New Roman"/>
                <w:b w:val="0"/>
                <w:bCs/>
                <w:color w:val="auto"/>
                <w:kern w:val="2"/>
                <w:sz w:val="24"/>
                <w:szCs w:val="24"/>
                <w:highlight w:val="none"/>
              </w:rPr>
              <w:t>价为无效报价，报价得分保留小数点后两位，第三位四舍五入</w:t>
            </w:r>
            <w:r>
              <w:rPr>
                <w:rFonts w:hint="default" w:ascii="Times New Roman" w:hAnsi="Times New Roman" w:eastAsia="方正仿宋_GBK" w:cs="Times New Roman"/>
                <w:b w:val="0"/>
                <w:bCs/>
                <w:color w:val="auto"/>
                <w:kern w:val="2"/>
                <w:sz w:val="24"/>
                <w:szCs w:val="24"/>
                <w:highlight w:val="none"/>
                <w:lang w:eastAsia="zh-CN"/>
              </w:rPr>
              <w:t>。</w:t>
            </w:r>
          </w:p>
        </w:tc>
      </w:tr>
      <w:tr w14:paraId="3D57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vMerge w:val="restart"/>
            <w:noWrap w:val="0"/>
            <w:vAlign w:val="center"/>
          </w:tcPr>
          <w:p w14:paraId="667F62A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2</w:t>
            </w:r>
          </w:p>
        </w:tc>
        <w:tc>
          <w:tcPr>
            <w:tcW w:w="1238" w:type="dxa"/>
            <w:vMerge w:val="restart"/>
            <w:noWrap w:val="0"/>
            <w:vAlign w:val="center"/>
          </w:tcPr>
          <w:p w14:paraId="6C319F1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lang w:val="en-US" w:eastAsia="zh-CN"/>
              </w:rPr>
              <w:t>技术</w:t>
            </w:r>
            <w:r>
              <w:rPr>
                <w:rFonts w:hint="default" w:ascii="Times New Roman" w:hAnsi="Times New Roman" w:eastAsia="方正仿宋_GBK" w:cs="Times New Roman"/>
                <w:b w:val="0"/>
                <w:bCs/>
                <w:color w:val="auto"/>
                <w:kern w:val="2"/>
                <w:sz w:val="24"/>
                <w:szCs w:val="24"/>
                <w:highlight w:val="none"/>
              </w:rPr>
              <w:t>部分</w:t>
            </w:r>
          </w:p>
          <w:p w14:paraId="78492950">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w:t>
            </w:r>
            <w:r>
              <w:rPr>
                <w:rFonts w:hint="default" w:ascii="Times New Roman" w:hAnsi="Times New Roman" w:eastAsia="方正仿宋_GBK" w:cs="Times New Roman"/>
                <w:b w:val="0"/>
                <w:bCs/>
                <w:color w:val="auto"/>
                <w:kern w:val="2"/>
                <w:sz w:val="24"/>
                <w:szCs w:val="24"/>
                <w:highlight w:val="none"/>
                <w:lang w:val="en-US" w:eastAsia="zh-CN"/>
              </w:rPr>
              <w:t>60</w:t>
            </w:r>
            <w:r>
              <w:rPr>
                <w:rFonts w:hint="default" w:ascii="Times New Roman" w:hAnsi="Times New Roman" w:eastAsia="方正仿宋_GBK" w:cs="Times New Roman"/>
                <w:b w:val="0"/>
                <w:bCs/>
                <w:color w:val="auto"/>
                <w:kern w:val="2"/>
                <w:sz w:val="24"/>
                <w:szCs w:val="24"/>
                <w:highlight w:val="none"/>
              </w:rPr>
              <w:t>%）</w:t>
            </w:r>
          </w:p>
        </w:tc>
        <w:tc>
          <w:tcPr>
            <w:tcW w:w="1094" w:type="dxa"/>
            <w:noWrap w:val="0"/>
            <w:vAlign w:val="center"/>
          </w:tcPr>
          <w:p w14:paraId="70D4DA2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b w:val="0"/>
                <w:bCs/>
                <w:color w:val="auto"/>
                <w:kern w:val="2"/>
                <w:sz w:val="24"/>
                <w:szCs w:val="24"/>
                <w:highlight w:val="none"/>
                <w:lang w:val="en-US" w:eastAsia="zh-CN"/>
              </w:rPr>
              <w:t>项目的设计思路方案（20分）</w:t>
            </w:r>
          </w:p>
        </w:tc>
        <w:tc>
          <w:tcPr>
            <w:tcW w:w="4816" w:type="dxa"/>
            <w:noWrap w:val="0"/>
            <w:vAlign w:val="center"/>
          </w:tcPr>
          <w:p w14:paraId="61B0FD1F">
            <w:pPr>
              <w:pStyle w:val="5"/>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zh-CN" w:eastAsia="zh-CN"/>
              </w:rPr>
            </w:pPr>
            <w:r>
              <w:rPr>
                <w:rFonts w:hint="default" w:ascii="Times New Roman" w:hAnsi="Times New Roman" w:eastAsia="方正仿宋_GBK" w:cs="Times New Roman"/>
                <w:b w:val="0"/>
                <w:bCs/>
                <w:color w:val="auto"/>
                <w:sz w:val="24"/>
                <w:szCs w:val="24"/>
                <w:highlight w:val="none"/>
                <w:lang w:val="zh-CN" w:eastAsia="zh-CN"/>
              </w:rPr>
              <w:t>项目的设计思路方案</w:t>
            </w:r>
          </w:p>
          <w:p w14:paraId="33B22482">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default" w:ascii="Times New Roman" w:hAnsi="Times New Roman" w:eastAsia="方正仿宋_GBK" w:cs="Times New Roman"/>
                <w:b w:val="0"/>
                <w:bCs/>
                <w:color w:val="auto"/>
                <w:sz w:val="24"/>
                <w:szCs w:val="24"/>
                <w:highlight w:val="none"/>
                <w:lang w:val="zh-CN" w:eastAsia="zh-CN"/>
              </w:rPr>
            </w:pPr>
            <w:r>
              <w:rPr>
                <w:rFonts w:hint="default" w:ascii="Times New Roman" w:hAnsi="Times New Roman" w:eastAsia="方正仿宋_GBK" w:cs="Times New Roman"/>
                <w:b w:val="0"/>
                <w:bCs/>
                <w:color w:val="auto"/>
                <w:sz w:val="24"/>
                <w:szCs w:val="24"/>
                <w:highlight w:val="none"/>
                <w:lang w:val="zh-CN" w:eastAsia="zh-CN"/>
              </w:rPr>
              <w:t>包含设计理念贴合医共体建设要求、医疗工艺特点，总平面布局、功能分区，契合“五大共享中心”建设需求，符合基层医疗服务需求，设计亮点突出，节能、环保、智能化设计（20分）。</w:t>
            </w:r>
          </w:p>
          <w:p w14:paraId="436CBEFC">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zh-CN" w:eastAsia="zh-CN"/>
              </w:rPr>
              <w:t>方案包含上述所有内容的基础上，</w:t>
            </w:r>
            <w:r>
              <w:rPr>
                <w:rFonts w:hint="default" w:ascii="Times New Roman" w:hAnsi="Times New Roman" w:eastAsia="方正仿宋_GBK" w:cs="Times New Roman"/>
                <w:b w:val="0"/>
                <w:bCs/>
                <w:color w:val="auto"/>
                <w:sz w:val="24"/>
                <w:szCs w:val="24"/>
                <w:highlight w:val="none"/>
                <w:lang w:val="en-US" w:eastAsia="zh-CN"/>
              </w:rPr>
              <w:t>方案内容不存在瑕疵，得20分。</w:t>
            </w:r>
          </w:p>
          <w:p w14:paraId="393AD54A">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方案存在1处瑕疵，得15分。</w:t>
            </w:r>
          </w:p>
          <w:p w14:paraId="77F14EF6">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方案存在2处瑕疵，得10分。</w:t>
            </w:r>
          </w:p>
          <w:p w14:paraId="62F055A8">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方案存在3处瑕疵，得5分。</w:t>
            </w:r>
          </w:p>
          <w:p w14:paraId="2E7C69F6">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方案存在4处及以上瑕疵或未提供方案的，得0分。</w:t>
            </w:r>
          </w:p>
        </w:tc>
        <w:tc>
          <w:tcPr>
            <w:tcW w:w="2055" w:type="dxa"/>
            <w:vMerge w:val="restart"/>
            <w:noWrap w:val="0"/>
            <w:vAlign w:val="center"/>
          </w:tcPr>
          <w:p w14:paraId="1B09CA4B">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1.提供对应方案，格式自拟。</w:t>
            </w:r>
          </w:p>
          <w:p w14:paraId="237F7047">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sz w:val="24"/>
                <w:szCs w:val="24"/>
                <w:highlight w:val="none"/>
              </w:rPr>
            </w:pPr>
            <w:r>
              <w:rPr>
                <w:rFonts w:hint="default" w:ascii="Times New Roman" w:hAnsi="Times New Roman" w:eastAsia="方正仿宋_GBK" w:cs="Times New Roman"/>
                <w:b w:val="0"/>
                <w:bCs/>
                <w:color w:val="auto"/>
                <w:kern w:val="2"/>
                <w:sz w:val="24"/>
                <w:szCs w:val="24"/>
                <w:highlight w:val="none"/>
                <w:lang w:val="en-US" w:eastAsia="zh-CN"/>
              </w:rPr>
              <w:t>2</w:t>
            </w:r>
            <w:r>
              <w:rPr>
                <w:rFonts w:hint="default" w:ascii="Times New Roman" w:hAnsi="Times New Roman" w:eastAsia="方正仿宋_GBK" w:cs="Times New Roman"/>
                <w:b w:val="0"/>
                <w:bCs/>
                <w:color w:val="auto"/>
                <w:kern w:val="2"/>
                <w:sz w:val="24"/>
                <w:szCs w:val="24"/>
                <w:highlight w:val="none"/>
              </w:rPr>
              <w:t>.本项内容中所称的“瑕疵”包含但不限于以下几种：①方案内容缺项；②内容表述不完整；③缺少任意一项内容的针对性描述分析；④方案内容存在前后矛盾、逻辑混乱、常识错误、科学原理错误；⑤措施保障并不适用本项目特性；⑥不利于本项目目标的实现等情形。</w:t>
            </w:r>
          </w:p>
          <w:p w14:paraId="6836EADF">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sz w:val="24"/>
                <w:szCs w:val="24"/>
                <w:highlight w:val="none"/>
              </w:rPr>
            </w:pPr>
            <w:r>
              <w:rPr>
                <w:rFonts w:hint="default" w:ascii="Times New Roman" w:hAnsi="Times New Roman" w:eastAsia="方正仿宋_GBK" w:cs="Times New Roman"/>
                <w:b w:val="0"/>
                <w:bCs/>
                <w:color w:val="auto"/>
                <w:kern w:val="2"/>
                <w:sz w:val="24"/>
                <w:szCs w:val="24"/>
                <w:highlight w:val="none"/>
              </w:rPr>
              <w:t>4. 以上材料均须加盖</w:t>
            </w:r>
            <w:r>
              <w:rPr>
                <w:rFonts w:hint="default" w:ascii="Times New Roman" w:hAnsi="Times New Roman" w:eastAsia="方正仿宋_GBK" w:cs="Times New Roman"/>
                <w:b w:val="0"/>
                <w:bCs/>
                <w:color w:val="auto"/>
                <w:kern w:val="2"/>
                <w:sz w:val="24"/>
                <w:szCs w:val="24"/>
                <w:highlight w:val="none"/>
                <w:lang w:eastAsia="zh-CN"/>
              </w:rPr>
              <w:t>供应商</w:t>
            </w:r>
            <w:r>
              <w:rPr>
                <w:rFonts w:hint="default" w:ascii="Times New Roman" w:hAnsi="Times New Roman" w:eastAsia="方正仿宋_GBK" w:cs="Times New Roman"/>
                <w:b w:val="0"/>
                <w:bCs/>
                <w:color w:val="auto"/>
                <w:kern w:val="2"/>
                <w:sz w:val="24"/>
                <w:szCs w:val="24"/>
                <w:highlight w:val="none"/>
              </w:rPr>
              <w:t>公章。</w:t>
            </w:r>
          </w:p>
          <w:p w14:paraId="02DA40DC">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lang w:val="en-US" w:eastAsia="zh-CN"/>
              </w:rPr>
            </w:pPr>
          </w:p>
        </w:tc>
      </w:tr>
      <w:tr w14:paraId="63DE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vMerge w:val="continue"/>
            <w:noWrap w:val="0"/>
            <w:vAlign w:val="center"/>
          </w:tcPr>
          <w:p w14:paraId="3259BA7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238" w:type="dxa"/>
            <w:vMerge w:val="continue"/>
            <w:noWrap w:val="0"/>
            <w:vAlign w:val="center"/>
          </w:tcPr>
          <w:p w14:paraId="457F8FC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094" w:type="dxa"/>
            <w:noWrap w:val="0"/>
            <w:vAlign w:val="center"/>
          </w:tcPr>
          <w:p w14:paraId="43CE9E7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lang w:val="en-US" w:eastAsia="zh-CN"/>
              </w:rPr>
            </w:pPr>
            <w:r>
              <w:rPr>
                <w:rFonts w:hint="default" w:ascii="Times New Roman" w:hAnsi="Times New Roman" w:eastAsia="方正仿宋_GBK" w:cs="Times New Roman"/>
                <w:b w:val="0"/>
                <w:bCs/>
                <w:color w:val="auto"/>
                <w:sz w:val="24"/>
                <w:szCs w:val="24"/>
                <w:highlight w:val="none"/>
              </w:rPr>
              <w:t>项目的</w:t>
            </w:r>
            <w:r>
              <w:rPr>
                <w:rFonts w:hint="default" w:ascii="Times New Roman" w:hAnsi="Times New Roman" w:eastAsia="方正仿宋_GBK" w:cs="Times New Roman"/>
                <w:b w:val="0"/>
                <w:bCs/>
                <w:color w:val="auto"/>
                <w:sz w:val="24"/>
                <w:szCs w:val="24"/>
                <w:highlight w:val="none"/>
                <w:lang w:eastAsia="zh-CN"/>
              </w:rPr>
              <w:t>进度计划</w:t>
            </w:r>
            <w:r>
              <w:rPr>
                <w:rFonts w:hint="default" w:ascii="Times New Roman" w:hAnsi="Times New Roman" w:eastAsia="方正仿宋_GBK" w:cs="Times New Roman"/>
                <w:b w:val="0"/>
                <w:bCs/>
                <w:color w:val="auto"/>
                <w:kern w:val="2"/>
                <w:sz w:val="24"/>
                <w:szCs w:val="24"/>
                <w:highlight w:val="none"/>
                <w:lang w:val="en-US" w:eastAsia="zh-CN"/>
              </w:rPr>
              <w:t>（20分）</w:t>
            </w:r>
          </w:p>
        </w:tc>
        <w:tc>
          <w:tcPr>
            <w:tcW w:w="4816" w:type="dxa"/>
            <w:noWrap w:val="0"/>
            <w:vAlign w:val="center"/>
          </w:tcPr>
          <w:p w14:paraId="392A76AC">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leftChars="0" w:firstLine="0" w:firstLineChars="0"/>
              <w:textAlignment w:val="auto"/>
              <w:rPr>
                <w:rFonts w:hint="default" w:ascii="Times New Roman" w:hAnsi="Times New Roman" w:eastAsia="方正仿宋_GBK" w:cs="Times New Roman"/>
                <w:b w:val="0"/>
                <w:bCs/>
                <w:color w:val="auto"/>
                <w:sz w:val="24"/>
                <w:szCs w:val="24"/>
                <w:highlight w:val="none"/>
                <w:lang w:eastAsia="zh-CN"/>
              </w:rPr>
            </w:pPr>
            <w:r>
              <w:rPr>
                <w:rFonts w:hint="default" w:ascii="Times New Roman" w:hAnsi="Times New Roman" w:eastAsia="方正仿宋_GBK" w:cs="Times New Roman"/>
                <w:b w:val="0"/>
                <w:bCs/>
                <w:color w:val="auto"/>
                <w:sz w:val="24"/>
                <w:szCs w:val="24"/>
                <w:highlight w:val="none"/>
              </w:rPr>
              <w:t>项目的</w:t>
            </w:r>
            <w:r>
              <w:rPr>
                <w:rFonts w:hint="default" w:ascii="Times New Roman" w:hAnsi="Times New Roman" w:eastAsia="方正仿宋_GBK" w:cs="Times New Roman"/>
                <w:b w:val="0"/>
                <w:bCs/>
                <w:color w:val="auto"/>
                <w:sz w:val="24"/>
                <w:szCs w:val="24"/>
                <w:highlight w:val="none"/>
                <w:lang w:eastAsia="zh-CN"/>
              </w:rPr>
              <w:t>进度计划</w:t>
            </w:r>
          </w:p>
          <w:p w14:paraId="0F9845F2">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0"/>
              <w:textAlignment w:val="auto"/>
              <w:rPr>
                <w:rFonts w:hint="default" w:ascii="Times New Roman" w:hAnsi="Times New Roman" w:eastAsia="方正仿宋_GBK" w:cs="Times New Roman"/>
                <w:b w:val="0"/>
                <w:bCs/>
                <w:color w:val="auto"/>
                <w:sz w:val="24"/>
                <w:szCs w:val="24"/>
                <w:highlight w:val="none"/>
                <w:lang w:val="zh-CN" w:eastAsia="zh-CN"/>
              </w:rPr>
            </w:pPr>
            <w:r>
              <w:rPr>
                <w:rFonts w:hint="default" w:ascii="Times New Roman" w:hAnsi="Times New Roman" w:eastAsia="方正仿宋_GBK" w:cs="Times New Roman"/>
                <w:b w:val="0"/>
                <w:bCs/>
                <w:color w:val="auto"/>
                <w:sz w:val="24"/>
                <w:szCs w:val="24"/>
                <w:highlight w:val="none"/>
              </w:rPr>
              <w:t>包括</w:t>
            </w:r>
            <w:r>
              <w:rPr>
                <w:rFonts w:hint="default" w:ascii="Times New Roman" w:hAnsi="Times New Roman" w:eastAsia="方正仿宋_GBK" w:cs="Times New Roman"/>
                <w:b w:val="0"/>
                <w:bCs/>
                <w:color w:val="auto"/>
                <w:sz w:val="24"/>
                <w:szCs w:val="24"/>
                <w:highlight w:val="none"/>
                <w:lang w:eastAsia="zh-CN"/>
              </w:rPr>
              <w:t>项目</w:t>
            </w:r>
            <w:r>
              <w:rPr>
                <w:rFonts w:hint="default" w:ascii="Times New Roman" w:hAnsi="Times New Roman" w:eastAsia="方正仿宋_GBK" w:cs="Times New Roman"/>
                <w:b w:val="0"/>
                <w:bCs/>
                <w:color w:val="auto"/>
                <w:sz w:val="24"/>
                <w:szCs w:val="24"/>
                <w:highlight w:val="none"/>
              </w:rPr>
              <w:t>实施计划、进度安排科学，贴合设计工期要求，质量控制措施完善、专业协同、现场技术支持方案善</w:t>
            </w:r>
            <w:r>
              <w:rPr>
                <w:rFonts w:hint="default" w:ascii="Times New Roman" w:hAnsi="Times New Roman" w:eastAsia="方正仿宋_GBK" w:cs="Times New Roman"/>
                <w:b w:val="0"/>
                <w:bCs/>
                <w:color w:val="auto"/>
                <w:sz w:val="24"/>
                <w:szCs w:val="24"/>
                <w:highlight w:val="none"/>
                <w:lang w:eastAsia="zh-CN"/>
              </w:rPr>
              <w:t>。</w:t>
            </w:r>
          </w:p>
          <w:p w14:paraId="53CCD9DF">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zh-CN" w:eastAsia="zh-CN"/>
              </w:rPr>
              <w:t>方案包含上述所有内容的基础上，</w:t>
            </w:r>
            <w:r>
              <w:rPr>
                <w:rFonts w:hint="default" w:ascii="Times New Roman" w:hAnsi="Times New Roman" w:eastAsia="方正仿宋_GBK" w:cs="Times New Roman"/>
                <w:b w:val="0"/>
                <w:bCs/>
                <w:color w:val="auto"/>
                <w:sz w:val="24"/>
                <w:szCs w:val="24"/>
                <w:highlight w:val="none"/>
                <w:lang w:val="en-US" w:eastAsia="zh-CN"/>
              </w:rPr>
              <w:t>方案内容不存在瑕疵，得20分。</w:t>
            </w:r>
          </w:p>
          <w:p w14:paraId="1F494083">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方案存在1处瑕疵，得15分。</w:t>
            </w:r>
          </w:p>
          <w:p w14:paraId="1AA319B5">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方案存在2处瑕疵，得10分。</w:t>
            </w:r>
          </w:p>
          <w:p w14:paraId="642421B3">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方案存在3处瑕疵，得5分。</w:t>
            </w:r>
          </w:p>
          <w:p w14:paraId="77C70D10">
            <w:pPr>
              <w:pStyle w:val="5"/>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textAlignment w:val="auto"/>
              <w:rPr>
                <w:rStyle w:val="10"/>
                <w:rFonts w:hint="default" w:ascii="Times New Roman" w:hAnsi="Times New Roman" w:eastAsia="方正仿宋_GBK" w:cs="Times New Roman"/>
                <w:b/>
                <w:bCs/>
                <w:i w:val="0"/>
                <w:iCs w:val="0"/>
                <w:caps w:val="0"/>
                <w:color w:val="auto"/>
                <w:spacing w:val="0"/>
                <w:sz w:val="24"/>
                <w:szCs w:val="24"/>
                <w:u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方案存在4处及以上瑕疵或未提供方案的，得0分。</w:t>
            </w:r>
          </w:p>
        </w:tc>
        <w:tc>
          <w:tcPr>
            <w:tcW w:w="2055" w:type="dxa"/>
            <w:vMerge w:val="continue"/>
            <w:noWrap w:val="0"/>
            <w:vAlign w:val="center"/>
          </w:tcPr>
          <w:p w14:paraId="1CCF2339">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lang w:eastAsia="zh-CN"/>
              </w:rPr>
            </w:pPr>
          </w:p>
        </w:tc>
      </w:tr>
      <w:tr w14:paraId="7062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vMerge w:val="continue"/>
            <w:noWrap w:val="0"/>
            <w:vAlign w:val="center"/>
          </w:tcPr>
          <w:p w14:paraId="375C7A3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238" w:type="dxa"/>
            <w:vMerge w:val="continue"/>
            <w:noWrap w:val="0"/>
            <w:vAlign w:val="center"/>
          </w:tcPr>
          <w:p w14:paraId="7EBFCD9D">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094" w:type="dxa"/>
            <w:noWrap w:val="0"/>
            <w:vAlign w:val="center"/>
          </w:tcPr>
          <w:p w14:paraId="2B464EA9">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zh-CN" w:eastAsia="zh-CN"/>
              </w:rPr>
              <w:t>项目的售后服务方案</w:t>
            </w:r>
            <w:r>
              <w:rPr>
                <w:rFonts w:hint="default" w:ascii="Times New Roman" w:hAnsi="Times New Roman" w:eastAsia="方正仿宋_GBK" w:cs="Times New Roman"/>
                <w:b w:val="0"/>
                <w:bCs/>
                <w:color w:val="auto"/>
                <w:kern w:val="2"/>
                <w:sz w:val="24"/>
                <w:szCs w:val="24"/>
                <w:highlight w:val="none"/>
                <w:lang w:val="en-US" w:eastAsia="zh-CN"/>
              </w:rPr>
              <w:t>（20分）</w:t>
            </w:r>
          </w:p>
        </w:tc>
        <w:tc>
          <w:tcPr>
            <w:tcW w:w="4816" w:type="dxa"/>
            <w:noWrap w:val="0"/>
            <w:vAlign w:val="center"/>
          </w:tcPr>
          <w:p w14:paraId="60E76575">
            <w:pPr>
              <w:pStyle w:val="5"/>
              <w:keepNext w:val="0"/>
              <w:keepLines w:val="0"/>
              <w:pageBreakBefore w:val="0"/>
              <w:widowControl w:val="0"/>
              <w:kinsoku/>
              <w:wordWrap/>
              <w:overflowPunct/>
              <w:topLinePunct w:val="0"/>
              <w:autoSpaceDE/>
              <w:autoSpaceDN/>
              <w:bidi w:val="0"/>
              <w:adjustRightInd w:val="0"/>
              <w:snapToGrid w:val="0"/>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zh-CN" w:eastAsia="zh-CN"/>
              </w:rPr>
            </w:pPr>
            <w:r>
              <w:rPr>
                <w:rFonts w:hint="default" w:ascii="Times New Roman" w:hAnsi="Times New Roman" w:eastAsia="方正仿宋_GBK" w:cs="Times New Roman"/>
                <w:b w:val="0"/>
                <w:bCs/>
                <w:color w:val="auto"/>
                <w:sz w:val="24"/>
                <w:szCs w:val="24"/>
                <w:highlight w:val="none"/>
                <w:lang w:val="en-US" w:eastAsia="zh-CN"/>
              </w:rPr>
              <w:t>3.</w:t>
            </w:r>
            <w:r>
              <w:rPr>
                <w:rFonts w:hint="default" w:ascii="Times New Roman" w:hAnsi="Times New Roman" w:eastAsia="方正仿宋_GBK" w:cs="Times New Roman"/>
                <w:b w:val="0"/>
                <w:bCs/>
                <w:color w:val="auto"/>
                <w:sz w:val="24"/>
                <w:szCs w:val="24"/>
                <w:highlight w:val="none"/>
                <w:lang w:val="zh-CN" w:eastAsia="zh-CN"/>
              </w:rPr>
              <w:t>项目的售后服务方案，</w:t>
            </w:r>
          </w:p>
          <w:p w14:paraId="14D0E905">
            <w:pPr>
              <w:pStyle w:val="5"/>
              <w:keepNext w:val="0"/>
              <w:keepLines w:val="0"/>
              <w:pageBreakBefore w:val="0"/>
              <w:widowControl w:val="0"/>
              <w:kinsoku/>
              <w:wordWrap/>
              <w:overflowPunct/>
              <w:topLinePunct w:val="0"/>
              <w:autoSpaceDE/>
              <w:autoSpaceDN/>
              <w:bidi w:val="0"/>
              <w:adjustRightInd w:val="0"/>
              <w:snapToGrid w:val="0"/>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zh-CN" w:eastAsia="zh-CN"/>
              </w:rPr>
            </w:pPr>
            <w:r>
              <w:rPr>
                <w:rFonts w:hint="default" w:ascii="Times New Roman" w:hAnsi="Times New Roman" w:eastAsia="方正仿宋_GBK" w:cs="Times New Roman"/>
                <w:b w:val="0"/>
                <w:bCs/>
                <w:color w:val="auto"/>
                <w:sz w:val="24"/>
                <w:szCs w:val="24"/>
                <w:highlight w:val="none"/>
                <w:lang w:val="zh-CN" w:eastAsia="zh-CN"/>
              </w:rPr>
              <w:t>包含质保期服务承诺、响应及时、售后人员配置合理、组织保障、进度保障、后续服务情况。</w:t>
            </w:r>
          </w:p>
          <w:p w14:paraId="6DB19F21">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zh-CN" w:eastAsia="zh-CN"/>
              </w:rPr>
              <w:t>方案包含上述所有内容的基础上，</w:t>
            </w:r>
            <w:r>
              <w:rPr>
                <w:rFonts w:hint="default" w:ascii="Times New Roman" w:hAnsi="Times New Roman" w:eastAsia="方正仿宋_GBK" w:cs="Times New Roman"/>
                <w:b w:val="0"/>
                <w:bCs/>
                <w:color w:val="auto"/>
                <w:sz w:val="24"/>
                <w:szCs w:val="24"/>
                <w:highlight w:val="none"/>
                <w:lang w:val="en-US" w:eastAsia="zh-CN"/>
              </w:rPr>
              <w:t>方案内容不存在瑕疵，得20分。</w:t>
            </w:r>
          </w:p>
          <w:p w14:paraId="7525FDBE">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方案存在1处瑕疵，得15分。</w:t>
            </w:r>
          </w:p>
          <w:p w14:paraId="49D8F39B">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方案存在2处瑕疵，得10分。</w:t>
            </w:r>
          </w:p>
          <w:p w14:paraId="2EDA63C6">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方案存在3处瑕疵，得5分。</w:t>
            </w:r>
          </w:p>
          <w:p w14:paraId="022C5C12">
            <w:pPr>
              <w:pStyle w:val="5"/>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textAlignment w:val="auto"/>
              <w:rPr>
                <w:rFonts w:hint="default" w:ascii="Times New Roman" w:hAnsi="Times New Roman" w:eastAsia="方正仿宋_GBK" w:cs="Times New Roman"/>
                <w:b w:val="0"/>
                <w:bCs/>
                <w:color w:val="auto"/>
                <w:sz w:val="24"/>
                <w:szCs w:val="24"/>
                <w:highlight w:val="none"/>
              </w:rPr>
            </w:pPr>
            <w:r>
              <w:rPr>
                <w:rFonts w:hint="default" w:ascii="Times New Roman" w:hAnsi="Times New Roman" w:eastAsia="方正仿宋_GBK" w:cs="Times New Roman"/>
                <w:b w:val="0"/>
                <w:bCs/>
                <w:color w:val="auto"/>
                <w:sz w:val="24"/>
                <w:szCs w:val="24"/>
                <w:highlight w:val="none"/>
                <w:lang w:val="en-US" w:eastAsia="zh-CN"/>
              </w:rPr>
              <w:t>方案存在4处及以上瑕疵或未提供方案的，得0分。</w:t>
            </w:r>
          </w:p>
        </w:tc>
        <w:tc>
          <w:tcPr>
            <w:tcW w:w="2055" w:type="dxa"/>
            <w:vMerge w:val="continue"/>
            <w:noWrap w:val="0"/>
            <w:vAlign w:val="center"/>
          </w:tcPr>
          <w:p w14:paraId="48A2EC0E">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rPr>
            </w:pPr>
          </w:p>
        </w:tc>
      </w:tr>
      <w:tr w14:paraId="4817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vMerge w:val="restart"/>
            <w:noWrap w:val="0"/>
            <w:vAlign w:val="center"/>
          </w:tcPr>
          <w:p w14:paraId="30368282">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3</w:t>
            </w:r>
          </w:p>
        </w:tc>
        <w:tc>
          <w:tcPr>
            <w:tcW w:w="1238" w:type="dxa"/>
            <w:vMerge w:val="restart"/>
            <w:noWrap w:val="0"/>
            <w:vAlign w:val="center"/>
          </w:tcPr>
          <w:p w14:paraId="02C3581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r>
              <w:rPr>
                <w:rFonts w:hint="default" w:ascii="Times New Roman" w:hAnsi="Times New Roman" w:eastAsia="方正仿宋_GBK" w:cs="Times New Roman"/>
                <w:b w:val="0"/>
                <w:bCs/>
                <w:color w:val="auto"/>
                <w:kern w:val="2"/>
                <w:sz w:val="24"/>
                <w:szCs w:val="24"/>
                <w:highlight w:val="none"/>
              </w:rPr>
              <w:t>商务部分（</w:t>
            </w:r>
            <w:r>
              <w:rPr>
                <w:rFonts w:hint="default" w:ascii="Times New Roman" w:hAnsi="Times New Roman" w:eastAsia="方正仿宋_GBK" w:cs="Times New Roman"/>
                <w:b w:val="0"/>
                <w:bCs/>
                <w:color w:val="auto"/>
                <w:kern w:val="2"/>
                <w:sz w:val="24"/>
                <w:szCs w:val="24"/>
                <w:highlight w:val="none"/>
                <w:lang w:val="en-US" w:eastAsia="zh-CN"/>
              </w:rPr>
              <w:t>10</w:t>
            </w:r>
            <w:r>
              <w:rPr>
                <w:rFonts w:hint="default" w:ascii="Times New Roman" w:hAnsi="Times New Roman" w:eastAsia="方正仿宋_GBK" w:cs="Times New Roman"/>
                <w:b w:val="0"/>
                <w:bCs/>
                <w:color w:val="auto"/>
                <w:kern w:val="2"/>
                <w:sz w:val="24"/>
                <w:szCs w:val="24"/>
                <w:highlight w:val="none"/>
              </w:rPr>
              <w:t>%）</w:t>
            </w:r>
          </w:p>
        </w:tc>
        <w:tc>
          <w:tcPr>
            <w:tcW w:w="1094" w:type="dxa"/>
            <w:shd w:val="clear" w:color="auto" w:fill="auto"/>
            <w:noWrap w:val="0"/>
            <w:vAlign w:val="center"/>
          </w:tcPr>
          <w:p w14:paraId="053FB764">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项目负责人（5分）</w:t>
            </w:r>
          </w:p>
        </w:tc>
        <w:tc>
          <w:tcPr>
            <w:tcW w:w="4816" w:type="dxa"/>
            <w:shd w:val="clear" w:color="auto" w:fill="auto"/>
            <w:noWrap w:val="0"/>
            <w:vAlign w:val="center"/>
          </w:tcPr>
          <w:p w14:paraId="7251426E">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项目负责人在满足基本要求的基础上，具有工程类正高级职称或教授级高工职称加5分。此项最多得5分。</w:t>
            </w:r>
          </w:p>
        </w:tc>
        <w:tc>
          <w:tcPr>
            <w:tcW w:w="2055" w:type="dxa"/>
            <w:noWrap w:val="0"/>
            <w:vAlign w:val="center"/>
          </w:tcPr>
          <w:p w14:paraId="3BB4E109">
            <w:pPr>
              <w:pStyle w:val="5"/>
              <w:keepNext w:val="0"/>
              <w:keepLines w:val="0"/>
              <w:pageBreakBefore w:val="0"/>
              <w:widowControl w:val="0"/>
              <w:kinsoku/>
              <w:wordWrap/>
              <w:overflowPunct/>
              <w:topLinePunct w:val="0"/>
              <w:autoSpaceDE/>
              <w:autoSpaceDN/>
              <w:bidi w:val="0"/>
              <w:adjustRightInd/>
              <w:snapToGrid/>
              <w:spacing w:line="400" w:lineRule="exact"/>
              <w:ind w:left="0" w:firstLine="0"/>
              <w:textAlignment w:val="auto"/>
              <w:rPr>
                <w:rFonts w:hint="default" w:ascii="Times New Roman" w:hAnsi="Times New Roman" w:eastAsia="方正仿宋_GBK" w:cs="Times New Roman"/>
                <w:b w:val="0"/>
                <w:bCs/>
                <w:color w:val="auto"/>
                <w:sz w:val="24"/>
                <w:szCs w:val="24"/>
                <w:highlight w:val="none"/>
                <w:lang w:val="en-US" w:eastAsia="zh-CN"/>
              </w:rPr>
            </w:pPr>
            <w:r>
              <w:rPr>
                <w:rFonts w:hint="default" w:ascii="Times New Roman" w:hAnsi="Times New Roman" w:eastAsia="方正仿宋_GBK" w:cs="Times New Roman"/>
                <w:b w:val="0"/>
                <w:bCs/>
                <w:color w:val="auto"/>
                <w:sz w:val="24"/>
                <w:szCs w:val="24"/>
                <w:highlight w:val="none"/>
                <w:lang w:val="en-US" w:eastAsia="zh-CN"/>
              </w:rPr>
              <w:t>提供职称证书复印件加盖供应商公章。</w:t>
            </w:r>
          </w:p>
        </w:tc>
      </w:tr>
      <w:tr w14:paraId="109E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8" w:type="dxa"/>
            <w:vMerge w:val="continue"/>
            <w:noWrap w:val="0"/>
            <w:vAlign w:val="center"/>
          </w:tcPr>
          <w:p w14:paraId="028569B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238" w:type="dxa"/>
            <w:vMerge w:val="continue"/>
            <w:noWrap w:val="0"/>
            <w:vAlign w:val="center"/>
          </w:tcPr>
          <w:p w14:paraId="3696A8F9">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rPr>
            </w:pPr>
          </w:p>
        </w:tc>
        <w:tc>
          <w:tcPr>
            <w:tcW w:w="1094" w:type="dxa"/>
            <w:shd w:val="clear" w:color="auto" w:fill="auto"/>
            <w:noWrap w:val="0"/>
            <w:vAlign w:val="center"/>
          </w:tcPr>
          <w:p w14:paraId="12AD0DD5">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val="0"/>
                <w:bCs/>
                <w:color w:val="auto"/>
                <w:kern w:val="2"/>
                <w:sz w:val="24"/>
                <w:szCs w:val="24"/>
                <w:highlight w:val="none"/>
                <w:lang w:val="en-US" w:eastAsia="zh-CN" w:bidi="ar-SA"/>
              </w:rPr>
            </w:pPr>
            <w:r>
              <w:rPr>
                <w:rFonts w:hint="default" w:ascii="Times New Roman" w:hAnsi="Times New Roman" w:eastAsia="方正仿宋_GBK" w:cs="Times New Roman"/>
                <w:b w:val="0"/>
                <w:bCs/>
                <w:color w:val="auto"/>
                <w:kern w:val="2"/>
                <w:sz w:val="24"/>
                <w:szCs w:val="24"/>
                <w:highlight w:val="none"/>
                <w:lang w:eastAsia="zh-CN"/>
              </w:rPr>
              <w:t>业绩</w:t>
            </w:r>
            <w:r>
              <w:rPr>
                <w:rFonts w:hint="default" w:ascii="Times New Roman" w:hAnsi="Times New Roman" w:eastAsia="方正仿宋_GBK" w:cs="Times New Roman"/>
                <w:b w:val="0"/>
                <w:bCs/>
                <w:color w:val="auto"/>
                <w:kern w:val="2"/>
                <w:sz w:val="24"/>
                <w:szCs w:val="24"/>
                <w:highlight w:val="none"/>
                <w:lang w:val="en-US" w:eastAsia="zh-CN"/>
              </w:rPr>
              <w:t>（5分）</w:t>
            </w:r>
          </w:p>
        </w:tc>
        <w:tc>
          <w:tcPr>
            <w:tcW w:w="4816" w:type="dxa"/>
            <w:shd w:val="clear" w:color="auto" w:fill="auto"/>
            <w:noWrap w:val="0"/>
            <w:vAlign w:val="center"/>
          </w:tcPr>
          <w:p w14:paraId="4526FD7A">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方正仿宋_GBK" w:cs="Times New Roman"/>
                <w:b w:val="0"/>
                <w:bCs/>
                <w:color w:val="auto"/>
                <w:kern w:val="2"/>
                <w:sz w:val="24"/>
                <w:szCs w:val="24"/>
                <w:highlight w:val="none"/>
                <w:lang w:val="en-US" w:eastAsia="zh-CN" w:bidi="ar-SA"/>
              </w:rPr>
            </w:pPr>
            <w:r>
              <w:rPr>
                <w:rFonts w:hint="default" w:ascii="Times New Roman" w:hAnsi="Times New Roman" w:eastAsia="方正仿宋_GBK" w:cs="Times New Roman"/>
                <w:b w:val="0"/>
                <w:bCs/>
                <w:color w:val="auto"/>
                <w:kern w:val="2"/>
                <w:sz w:val="24"/>
                <w:szCs w:val="24"/>
                <w:highlight w:val="none"/>
                <w:shd w:val="clear" w:color="auto" w:fill="auto"/>
                <w:lang w:val="en-US" w:eastAsia="zh-CN"/>
              </w:rPr>
              <w:t>2021年至今，供应商提供类似医疗建筑设计项目业绩，每提供一份业绩得2.5分，最多得5分。</w:t>
            </w:r>
          </w:p>
        </w:tc>
        <w:tc>
          <w:tcPr>
            <w:tcW w:w="2055" w:type="dxa"/>
            <w:noWrap w:val="0"/>
            <w:vAlign w:val="center"/>
          </w:tcPr>
          <w:p w14:paraId="00618934">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K" w:cs="Times New Roman"/>
                <w:b w:val="0"/>
                <w:bCs/>
                <w:color w:val="auto"/>
                <w:kern w:val="2"/>
                <w:sz w:val="24"/>
                <w:szCs w:val="24"/>
                <w:highlight w:val="none"/>
                <w:lang w:val="en-US" w:eastAsia="zh-CN"/>
              </w:rPr>
            </w:pPr>
            <w:r>
              <w:rPr>
                <w:rFonts w:hint="default" w:ascii="Times New Roman" w:hAnsi="Times New Roman" w:eastAsia="方正仿宋_GBK" w:cs="Times New Roman"/>
                <w:b w:val="0"/>
                <w:bCs/>
                <w:color w:val="auto"/>
                <w:kern w:val="2"/>
                <w:sz w:val="24"/>
                <w:szCs w:val="24"/>
                <w:highlight w:val="none"/>
                <w:lang w:val="en-US" w:eastAsia="zh-CN"/>
              </w:rPr>
              <w:t>提供合同复印件并加盖供应商公章。</w:t>
            </w:r>
          </w:p>
        </w:tc>
      </w:tr>
    </w:tbl>
    <w:p w14:paraId="600AF25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480" w:leftChars="0" w:right="0" w:rightChars="0"/>
        <w:textAlignment w:val="auto"/>
        <w:rPr>
          <w:rFonts w:hint="default" w:ascii="仿宋" w:hAnsi="仿宋" w:eastAsia="仿宋" w:cs="仿宋"/>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1" w:fontKey="{7064C387-6890-4BF1-8153-A09856635F30}"/>
  </w:font>
  <w:font w:name="方正仿宋_GBK">
    <w:panose1 w:val="03000509000000000000"/>
    <w:charset w:val="86"/>
    <w:family w:val="auto"/>
    <w:pitch w:val="default"/>
    <w:sig w:usb0="00000001" w:usb1="080E0000" w:usb2="00000000" w:usb3="00000000" w:csb0="00040000" w:csb1="00000000"/>
    <w:embedRegular r:id="rId2" w:fontKey="{A4F39289-CE9C-4798-A3D9-4EC5CCCC5A6B}"/>
  </w:font>
  <w:font w:name="方正仿宋_GB2312">
    <w:panose1 w:val="02000000000000000000"/>
    <w:charset w:val="86"/>
    <w:family w:val="auto"/>
    <w:pitch w:val="default"/>
    <w:sig w:usb0="A00002BF" w:usb1="184F6CFA" w:usb2="00000012" w:usb3="00000000" w:csb0="00040001" w:csb1="00000000"/>
    <w:embedRegular r:id="rId3" w:fontKey="{3498D0D0-766F-4C68-A54D-25D3F58AA619}"/>
  </w:font>
  <w:font w:name="仿宋">
    <w:panose1 w:val="02010609060101010101"/>
    <w:charset w:val="86"/>
    <w:family w:val="auto"/>
    <w:pitch w:val="default"/>
    <w:sig w:usb0="800002BF" w:usb1="38CF7CFA" w:usb2="00000016" w:usb3="00000000" w:csb0="00040001" w:csb1="00000000"/>
    <w:embedRegular r:id="rId4" w:fontKey="{FD06260B-1B1E-448B-9D04-4493CC617EF7}"/>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F74D8"/>
    <w:multiLevelType w:val="singleLevel"/>
    <w:tmpl w:val="372F74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TNmNjk1YTkyNzIzNThjNjFmNDhiYWFhNWU0NTcifQ=="/>
  </w:docVars>
  <w:rsids>
    <w:rsidRoot w:val="2C1C0003"/>
    <w:rsid w:val="00A74545"/>
    <w:rsid w:val="0868100A"/>
    <w:rsid w:val="0A946506"/>
    <w:rsid w:val="0AFF6A04"/>
    <w:rsid w:val="0B6D204A"/>
    <w:rsid w:val="0E847E84"/>
    <w:rsid w:val="0F732707"/>
    <w:rsid w:val="10345B48"/>
    <w:rsid w:val="183D2A1D"/>
    <w:rsid w:val="18427A2F"/>
    <w:rsid w:val="1C6C2A7E"/>
    <w:rsid w:val="1D540308"/>
    <w:rsid w:val="1DE71CF2"/>
    <w:rsid w:val="2216698B"/>
    <w:rsid w:val="27331FF2"/>
    <w:rsid w:val="27FC55DF"/>
    <w:rsid w:val="285207D0"/>
    <w:rsid w:val="2A9433A1"/>
    <w:rsid w:val="2C1C0003"/>
    <w:rsid w:val="2E7C1970"/>
    <w:rsid w:val="32E05C49"/>
    <w:rsid w:val="33310B66"/>
    <w:rsid w:val="34137ED9"/>
    <w:rsid w:val="34A2145A"/>
    <w:rsid w:val="398C56AD"/>
    <w:rsid w:val="3B260258"/>
    <w:rsid w:val="3D3A4241"/>
    <w:rsid w:val="3E3B71D1"/>
    <w:rsid w:val="3E6B1945"/>
    <w:rsid w:val="40886E75"/>
    <w:rsid w:val="4195698C"/>
    <w:rsid w:val="43C415F1"/>
    <w:rsid w:val="46B56E73"/>
    <w:rsid w:val="46B97884"/>
    <w:rsid w:val="4D72762D"/>
    <w:rsid w:val="4EAE5C7E"/>
    <w:rsid w:val="53146D6E"/>
    <w:rsid w:val="54F433F8"/>
    <w:rsid w:val="559E3540"/>
    <w:rsid w:val="58776156"/>
    <w:rsid w:val="58E52677"/>
    <w:rsid w:val="59AE650F"/>
    <w:rsid w:val="5A167296"/>
    <w:rsid w:val="605F3098"/>
    <w:rsid w:val="626B3534"/>
    <w:rsid w:val="63E861D3"/>
    <w:rsid w:val="64045626"/>
    <w:rsid w:val="69042197"/>
    <w:rsid w:val="6A446B8F"/>
    <w:rsid w:val="6AB02803"/>
    <w:rsid w:val="6ACC2C4E"/>
    <w:rsid w:val="6D850C0C"/>
    <w:rsid w:val="6F276A96"/>
    <w:rsid w:val="6F3647BA"/>
    <w:rsid w:val="73430D47"/>
    <w:rsid w:val="741E6961"/>
    <w:rsid w:val="76337876"/>
    <w:rsid w:val="7D4B3625"/>
    <w:rsid w:val="7FA65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link w:val="18"/>
    <w:autoRedefine/>
    <w:qFormat/>
    <w:uiPriority w:val="0"/>
    <w:pPr>
      <w:keepNext/>
      <w:keepLines/>
      <w:spacing w:before="20" w:beforeLines="20" w:after="20" w:afterLines="20" w:line="380" w:lineRule="exact"/>
      <w:ind w:firstLine="67" w:firstLineChars="67"/>
      <w:outlineLvl w:val="2"/>
    </w:pPr>
    <w:rPr>
      <w:rFonts w:ascii="Verdana" w:hAnsi="Verdana" w:eastAsia="黑体"/>
      <w:b/>
      <w:bCs/>
      <w:sz w:val="27"/>
      <w:szCs w:val="32"/>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annotation text"/>
    <w:basedOn w:val="1"/>
    <w:semiHidden/>
    <w:qFormat/>
    <w:uiPriority w:val="0"/>
    <w:rPr>
      <w:rFonts w:eastAsia="宋体"/>
      <w:sz w:val="18"/>
      <w:szCs w:val="20"/>
    </w:rPr>
  </w:style>
  <w:style w:type="paragraph" w:styleId="5">
    <w:name w:val="Body Text Indent"/>
    <w:basedOn w:val="1"/>
    <w:qFormat/>
    <w:uiPriority w:val="0"/>
    <w:pPr>
      <w:spacing w:line="700" w:lineRule="exact"/>
      <w:ind w:left="960"/>
    </w:pPr>
    <w:rPr>
      <w:sz w:val="44"/>
    </w:rPr>
  </w:style>
  <w:style w:type="paragraph" w:styleId="6">
    <w:name w:val="Body Text Indent 2"/>
    <w:basedOn w:val="1"/>
    <w:qFormat/>
    <w:uiPriority w:val="0"/>
    <w:pPr>
      <w:snapToGrid w:val="0"/>
      <w:spacing w:line="560" w:lineRule="atLeast"/>
      <w:ind w:firstLine="540"/>
    </w:pPr>
    <w:rPr>
      <w:rFonts w:ascii="Calibri" w:hAnsi="Calibri" w:cs="宋体"/>
      <w:szCs w:val="22"/>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Default"/>
    <w:autoRedefine/>
    <w:qFormat/>
    <w:uiPriority w:val="0"/>
    <w:pPr>
      <w:widowControl w:val="0"/>
      <w:autoSpaceDE w:val="0"/>
      <w:autoSpaceDN w:val="0"/>
      <w:adjustRightInd w:val="0"/>
    </w:pPr>
    <w:rPr>
      <w:rFonts w:ascii="Tahoma" w:hAnsi="Tahoma" w:cs="Tahoma" w:eastAsiaTheme="minorEastAsia"/>
      <w:color w:val="000000"/>
      <w:kern w:val="0"/>
      <w:sz w:val="24"/>
      <w:szCs w:val="24"/>
      <w:lang w:val="en-US" w:eastAsia="zh-CN" w:bidi="ar-SA"/>
    </w:rPr>
  </w:style>
  <w:style w:type="paragraph" w:customStyle="1" w:styleId="12">
    <w:name w:val="表身（左）"/>
    <w:autoRedefine/>
    <w:qFormat/>
    <w:uiPriority w:val="0"/>
    <w:pPr>
      <w:adjustRightInd w:val="0"/>
      <w:snapToGrid w:val="0"/>
      <w:spacing w:line="300" w:lineRule="auto"/>
      <w:textAlignment w:val="center"/>
    </w:pPr>
    <w:rPr>
      <w:rFonts w:ascii="Times New Roman" w:hAnsi="Times New Roman" w:eastAsia="宋体" w:cs="Times New Roman"/>
      <w:kern w:val="0"/>
      <w:sz w:val="16"/>
      <w:szCs w:val="20"/>
      <w:lang w:val="en-US" w:eastAsia="zh-CN" w:bidi="ar-SA"/>
    </w:rPr>
  </w:style>
  <w:style w:type="paragraph" w:customStyle="1" w:styleId="13">
    <w:name w:val="列出段落1"/>
    <w:basedOn w:val="1"/>
    <w:autoRedefine/>
    <w:qFormat/>
    <w:uiPriority w:val="99"/>
    <w:pPr>
      <w:ind w:firstLine="420" w:firstLineChars="200"/>
    </w:pPr>
  </w:style>
  <w:style w:type="character" w:customStyle="1" w:styleId="14">
    <w:name w:val="font11"/>
    <w:basedOn w:val="9"/>
    <w:autoRedefine/>
    <w:qFormat/>
    <w:uiPriority w:val="0"/>
    <w:rPr>
      <w:rFonts w:hint="default" w:ascii="仿宋_GB2312" w:eastAsia="仿宋_GB2312" w:cs="仿宋_GB2312"/>
      <w:color w:val="000000"/>
      <w:sz w:val="21"/>
      <w:szCs w:val="21"/>
      <w:u w:val="none"/>
    </w:rPr>
  </w:style>
  <w:style w:type="character" w:customStyle="1" w:styleId="15">
    <w:name w:val="font101"/>
    <w:basedOn w:val="9"/>
    <w:autoRedefine/>
    <w:qFormat/>
    <w:uiPriority w:val="0"/>
    <w:rPr>
      <w:rFonts w:hint="default" w:ascii="Times New Roman" w:hAnsi="Times New Roman" w:cs="Times New Roman"/>
      <w:color w:val="000000"/>
      <w:sz w:val="21"/>
      <w:szCs w:val="21"/>
      <w:u w:val="none"/>
    </w:rPr>
  </w:style>
  <w:style w:type="character" w:customStyle="1" w:styleId="16">
    <w:name w:val="font51"/>
    <w:basedOn w:val="9"/>
    <w:autoRedefine/>
    <w:qFormat/>
    <w:uiPriority w:val="0"/>
    <w:rPr>
      <w:rFonts w:hint="eastAsia" w:ascii="宋体" w:hAnsi="宋体" w:eastAsia="宋体" w:cs="宋体"/>
      <w:color w:val="000000"/>
      <w:sz w:val="20"/>
      <w:szCs w:val="20"/>
      <w:u w:val="none"/>
    </w:rPr>
  </w:style>
  <w:style w:type="character" w:customStyle="1" w:styleId="17">
    <w:name w:val="font71"/>
    <w:basedOn w:val="9"/>
    <w:autoRedefine/>
    <w:qFormat/>
    <w:uiPriority w:val="0"/>
    <w:rPr>
      <w:rFonts w:hint="eastAsia" w:ascii="宋体" w:hAnsi="宋体" w:eastAsia="宋体" w:cs="宋体"/>
      <w:color w:val="000000"/>
      <w:sz w:val="21"/>
      <w:szCs w:val="21"/>
      <w:u w:val="none"/>
    </w:rPr>
  </w:style>
  <w:style w:type="character" w:customStyle="1" w:styleId="18">
    <w:name w:val="标题 3 Char"/>
    <w:basedOn w:val="9"/>
    <w:link w:val="3"/>
    <w:autoRedefine/>
    <w:qFormat/>
    <w:uiPriority w:val="0"/>
    <w:rPr>
      <w:rFonts w:ascii="Verdana" w:hAnsi="Verdana" w:eastAsia="黑体"/>
      <w:b/>
      <w:bCs/>
      <w:sz w:val="27"/>
      <w:szCs w:val="32"/>
    </w:rPr>
  </w:style>
  <w:style w:type="paragraph" w:customStyle="1" w:styleId="19">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0">
    <w:name w:val="标书正文1"/>
    <w:basedOn w:val="1"/>
    <w:qFormat/>
    <w:uiPriority w:val="99"/>
    <w:pPr>
      <w:spacing w:line="520" w:lineRule="exact"/>
      <w:ind w:firstLine="64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3180</Words>
  <Characters>3251</Characters>
  <Lines>1</Lines>
  <Paragraphs>1</Paragraphs>
  <TotalTime>7</TotalTime>
  <ScaleCrop>false</ScaleCrop>
  <LinksUpToDate>false</LinksUpToDate>
  <CharactersWithSpaces>3311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2020-11-30T03:10:00Z</dcterms:created>
  <dc:creator>小朋友提不起劲</dc:creator>
  <cp:lastModifiedBy>筱筱</cp:lastModifiedBy>
  <cp:lastPrinted>2026-06-03T09:21:00Z</cp:lastPrinted>
  <dcterms:modified xsi:type="dcterms:W3CDTF">2026-07-31T08:57:01Z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396BB5F980FF49DA8AC95A7DAE82E1E5</vt:lpwstr>
  </property>
  <property fmtid="{D5CDD505-2E9C-101B-9397-08002B2CF9AE}" pid="4" name="KSOTemplateDocerSaveRecord">
    <vt:lpwstr>eyJoZGlkIjoiNTBlMmQ2ZmI4YmFlYzM0NjQ0OGQwMjg2YTc0NjE3MTkiLCJ1c2VySWQiOiIyODExMjA4MTcifQ==</vt:lpwstr>
  </property>
</Properties>
</file>