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326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sz w:val="32"/>
          <w:szCs w:val="32"/>
          <w:highlight w:val="none"/>
          <w:shd w:val="clear" w:color="auto" w:fill="auto"/>
          <w:lang w:val="en-US" w:eastAsia="zh-CN" w:bidi="ar"/>
        </w:rPr>
        <w:t>电梯安全智能管理平台运维服务技术参数及服务要求</w:t>
      </w:r>
    </w:p>
    <w:p w14:paraId="4EA4C20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ind w:firstLine="48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kern w:val="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24"/>
          <w:lang w:val="en-US" w:eastAsia="zh-CN"/>
        </w:rPr>
        <w:t>项目名称</w:t>
      </w:r>
    </w:p>
    <w:tbl>
      <w:tblPr>
        <w:tblStyle w:val="5"/>
        <w:tblW w:w="8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1179"/>
        <w:gridCol w:w="1179"/>
        <w:gridCol w:w="3216"/>
      </w:tblGrid>
      <w:tr w14:paraId="1B36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96" w:type="dxa"/>
            <w:noWrap w:val="0"/>
            <w:vAlign w:val="center"/>
          </w:tcPr>
          <w:p w14:paraId="2A432E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default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项目名称</w:t>
            </w:r>
          </w:p>
        </w:tc>
        <w:tc>
          <w:tcPr>
            <w:tcW w:w="1179" w:type="dxa"/>
            <w:noWrap w:val="0"/>
            <w:vAlign w:val="center"/>
          </w:tcPr>
          <w:p w14:paraId="3B519E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服务期限</w:t>
            </w:r>
          </w:p>
        </w:tc>
        <w:tc>
          <w:tcPr>
            <w:tcW w:w="1179" w:type="dxa"/>
            <w:noWrap w:val="0"/>
            <w:vAlign w:val="center"/>
          </w:tcPr>
          <w:p w14:paraId="1FFBD1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最高限价</w:t>
            </w:r>
          </w:p>
          <w:p w14:paraId="6276A87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（万元）</w:t>
            </w:r>
          </w:p>
        </w:tc>
        <w:tc>
          <w:tcPr>
            <w:tcW w:w="3216" w:type="dxa"/>
            <w:noWrap w:val="0"/>
            <w:vAlign w:val="center"/>
          </w:tcPr>
          <w:p w14:paraId="7A10B0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default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77F38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96" w:type="dxa"/>
            <w:noWrap w:val="0"/>
            <w:vAlign w:val="center"/>
          </w:tcPr>
          <w:p w14:paraId="01B3E9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电梯安全智能管理平台运维服务</w:t>
            </w:r>
          </w:p>
        </w:tc>
        <w:tc>
          <w:tcPr>
            <w:tcW w:w="1179" w:type="dxa"/>
            <w:noWrap w:val="0"/>
            <w:vAlign w:val="center"/>
          </w:tcPr>
          <w:p w14:paraId="285E44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贰年</w:t>
            </w:r>
          </w:p>
        </w:tc>
        <w:tc>
          <w:tcPr>
            <w:tcW w:w="1179" w:type="dxa"/>
            <w:noWrap w:val="0"/>
            <w:vAlign w:val="center"/>
          </w:tcPr>
          <w:p w14:paraId="040054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default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default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19.49</w:t>
            </w:r>
          </w:p>
        </w:tc>
        <w:tc>
          <w:tcPr>
            <w:tcW w:w="3216" w:type="dxa"/>
            <w:noWrap w:val="0"/>
            <w:vAlign w:val="center"/>
          </w:tcPr>
          <w:p w14:paraId="71E01B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Style w:val="9"/>
                <w:rFonts w:hint="default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电梯数量：29台</w:t>
            </w:r>
          </w:p>
        </w:tc>
      </w:tr>
    </w:tbl>
    <w:p w14:paraId="2C381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ind w:firstLine="48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24"/>
          <w:lang w:val="en-US" w:eastAsia="zh-CN"/>
        </w:rPr>
        <w:t>二、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24"/>
        </w:rPr>
        <w:t>服务内容</w:t>
      </w:r>
    </w:p>
    <w:p w14:paraId="00013EB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系统基本服务：数据分析云服务器租用</w:t>
      </w:r>
    </w:p>
    <w:p w14:paraId="0C57A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60" w:firstLine="2280" w:firstLineChars="950"/>
        <w:textAlignment w:val="auto"/>
        <w:rPr>
          <w:rFonts w:hint="eastAsia"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数据存储云服务器租用</w:t>
      </w:r>
    </w:p>
    <w:p w14:paraId="42BDB1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60" w:firstLine="2280" w:firstLineChars="950"/>
        <w:textAlignment w:val="auto"/>
        <w:rPr>
          <w:rFonts w:hint="eastAsia"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应用及WEB服务器租用</w:t>
      </w:r>
    </w:p>
    <w:p w14:paraId="09A983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60" w:firstLine="2280" w:firstLineChars="950"/>
        <w:textAlignment w:val="auto"/>
        <w:rPr>
          <w:rFonts w:hint="eastAsia"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报警电话平台电话包</w:t>
      </w:r>
    </w:p>
    <w:p w14:paraId="24E939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60" w:firstLine="2280" w:firstLineChars="950"/>
        <w:textAlignment w:val="auto"/>
        <w:rPr>
          <w:rFonts w:hint="eastAsia"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报警短信平台短信包</w:t>
      </w:r>
    </w:p>
    <w:p w14:paraId="08CDE5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640" w:firstLineChars="1100"/>
        <w:textAlignment w:val="auto"/>
        <w:rPr>
          <w:rFonts w:hint="eastAsia"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物联网卡流量费</w:t>
      </w:r>
    </w:p>
    <w:p w14:paraId="72D97C6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、电梯安全管理系统维护内容：</w:t>
      </w:r>
    </w:p>
    <w:p w14:paraId="7B9CED3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1）系统升级：对软件系统框架、数据库接口服务升级，数据统计分析管理的方法进行持续性维护</w:t>
      </w:r>
    </w:p>
    <w:p w14:paraId="0B227E2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2）功能优化：表单优化、功能改版与升级，在数据量累积之后定期对数据处理速度进行优化</w:t>
      </w:r>
    </w:p>
    <w:p w14:paraId="1EF4DBA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3）数据管理：对使用过程中产生的大量数据（包括但不限于报警信息、设备档案、工单、故障视频），以及系统日志进行维护</w:t>
      </w:r>
    </w:p>
    <w:p w14:paraId="755D251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4）新需求扩展管理：能够根据客户自身使用场景的需求进行开发评估，满足采购人需求。</w:t>
      </w:r>
    </w:p>
    <w:p w14:paraId="2394D20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5）电梯安全模块：线上查看设备在线情况，查看显示屏播单内容</w:t>
      </w:r>
    </w:p>
    <w:p w14:paraId="2032BA3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、硬件维护内容：电梯安全管理系统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559"/>
        <w:gridCol w:w="709"/>
        <w:gridCol w:w="709"/>
        <w:gridCol w:w="4615"/>
      </w:tblGrid>
      <w:tr w14:paraId="6266E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E4BCDD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序号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1E5DA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设备名称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E83F1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数量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2D140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单位</w:t>
            </w:r>
          </w:p>
        </w:tc>
        <w:tc>
          <w:tcPr>
            <w:tcW w:w="4615" w:type="dxa"/>
            <w:shd w:val="clear" w:color="auto" w:fill="auto"/>
            <w:vAlign w:val="center"/>
          </w:tcPr>
          <w:p w14:paraId="06EE28B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服务要求</w:t>
            </w:r>
          </w:p>
        </w:tc>
      </w:tr>
      <w:tr w14:paraId="6E74E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0905A39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62493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轿厢显示屏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DDDF9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FC7D2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套</w:t>
            </w:r>
          </w:p>
        </w:tc>
        <w:tc>
          <w:tcPr>
            <w:tcW w:w="4615" w:type="dxa"/>
            <w:shd w:val="clear" w:color="auto" w:fill="auto"/>
            <w:vAlign w:val="center"/>
          </w:tcPr>
          <w:p w14:paraId="28073FC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每季度巡检一次</w:t>
            </w:r>
          </w:p>
          <w:p w14:paraId="121994B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对设备进行除尘</w:t>
            </w:r>
          </w:p>
          <w:p w14:paraId="4A1B58D3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检查设备运行情况</w:t>
            </w:r>
          </w:p>
          <w:p w14:paraId="282732B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检查设备输入输出连接是否牢固</w:t>
            </w:r>
          </w:p>
          <w:p w14:paraId="247BC26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检查内部易损单元</w:t>
            </w:r>
          </w:p>
          <w:p w14:paraId="5487658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电源是否连接正常</w:t>
            </w:r>
          </w:p>
          <w:p w14:paraId="3A2138E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检查通信连接情况，设备是否平台在线</w:t>
            </w:r>
          </w:p>
          <w:p w14:paraId="466A3CD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检查屏显内容（楼层、天气等）是否正常</w:t>
            </w:r>
          </w:p>
        </w:tc>
      </w:tr>
      <w:tr w14:paraId="17587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C2088D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9CA2A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轿厢摄像头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1BB90D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AA82A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套</w:t>
            </w:r>
          </w:p>
        </w:tc>
        <w:tc>
          <w:tcPr>
            <w:tcW w:w="4615" w:type="dxa"/>
            <w:shd w:val="clear" w:color="auto" w:fill="auto"/>
            <w:vAlign w:val="center"/>
          </w:tcPr>
          <w:p w14:paraId="5821AB0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对设备进行除尘</w:t>
            </w:r>
          </w:p>
          <w:p w14:paraId="2A4AD89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检查设备运行情况</w:t>
            </w:r>
          </w:p>
          <w:p w14:paraId="4FB3F2B9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检查设备输入输出连接是否牢固</w:t>
            </w:r>
          </w:p>
          <w:p w14:paraId="147A639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检查内部易损单元</w:t>
            </w:r>
          </w:p>
          <w:p w14:paraId="07D545B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电源是否连接正常</w:t>
            </w:r>
          </w:p>
          <w:p w14:paraId="52F6C84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检查通信连接情况，设备是否平台在线</w:t>
            </w:r>
          </w:p>
          <w:p w14:paraId="48316F0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检查白平衡设置是否正常</w:t>
            </w:r>
          </w:p>
        </w:tc>
      </w:tr>
      <w:tr w14:paraId="20806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ADD03B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6702A3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网关设备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94512D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A0AEB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套</w:t>
            </w:r>
          </w:p>
        </w:tc>
        <w:tc>
          <w:tcPr>
            <w:tcW w:w="4615" w:type="dxa"/>
            <w:shd w:val="clear" w:color="auto" w:fill="auto"/>
            <w:vAlign w:val="center"/>
          </w:tcPr>
          <w:p w14:paraId="688B873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对设备进行除尘</w:t>
            </w:r>
          </w:p>
          <w:p w14:paraId="7B66552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检查设备运行情况</w:t>
            </w:r>
          </w:p>
          <w:p w14:paraId="06BF455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检查设备输入输出连接是否牢固</w:t>
            </w:r>
          </w:p>
          <w:p w14:paraId="5310329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检查内部易损单元</w:t>
            </w:r>
          </w:p>
          <w:p w14:paraId="44D97AE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检查通信连接情况，设备是否平台在线</w:t>
            </w:r>
          </w:p>
          <w:p w14:paraId="42BF378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电源是否连接正常</w:t>
            </w:r>
          </w:p>
          <w:p w14:paraId="04735A3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网络设备IP地址设置是否正常，排除故障</w:t>
            </w:r>
          </w:p>
        </w:tc>
      </w:tr>
      <w:tr w14:paraId="49E13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BE9B6A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F39E8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采集终端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01765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C9A823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套</w:t>
            </w:r>
          </w:p>
        </w:tc>
        <w:tc>
          <w:tcPr>
            <w:tcW w:w="4615" w:type="dxa"/>
            <w:shd w:val="clear" w:color="auto" w:fill="auto"/>
            <w:vAlign w:val="center"/>
          </w:tcPr>
          <w:p w14:paraId="5F98A29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对设备进行除尘</w:t>
            </w:r>
          </w:p>
          <w:p w14:paraId="07EBC9C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检查设备运行情况</w:t>
            </w:r>
          </w:p>
          <w:p w14:paraId="506DA0A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检查设备输入输出连接是否牢固</w:t>
            </w:r>
          </w:p>
          <w:p w14:paraId="7553EFC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检查内部易损单元</w:t>
            </w:r>
          </w:p>
          <w:p w14:paraId="6C8F707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检查通信连接情况，设备是否平台在线</w:t>
            </w:r>
          </w:p>
          <w:p w14:paraId="6710EB0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电源是否连接正常</w:t>
            </w:r>
          </w:p>
          <w:p w14:paraId="0F9BF71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楼层传感器，平层传感器是否运行正常。</w:t>
            </w:r>
          </w:p>
        </w:tc>
      </w:tr>
    </w:tbl>
    <w:p w14:paraId="0179EF06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4"/>
          <w:szCs w:val="24"/>
        </w:rPr>
        <w:t>服务要求</w:t>
      </w:r>
    </w:p>
    <w:p w14:paraId="59910F91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（1）电话服务：提供7×24小时的热线电话及远程支持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5812"/>
        <w:gridCol w:w="1355"/>
      </w:tblGrid>
      <w:tr w14:paraId="555AB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AA3D64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A7CBBD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服务内容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6CD2190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响应时间</w:t>
            </w:r>
          </w:p>
        </w:tc>
      </w:tr>
      <w:tr w14:paraId="7E6A6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1D1879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0C6878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7*24热线技术支持服务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66600FB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7*24</w:t>
            </w:r>
          </w:p>
        </w:tc>
      </w:tr>
      <w:tr w14:paraId="77E9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7F21084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3C88C0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紧急情况下现场支持服务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45CA71DD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7*24</w:t>
            </w:r>
          </w:p>
        </w:tc>
      </w:tr>
      <w:tr w14:paraId="17A21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2A4FCA1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0B5078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紧急情况下远程登录的方式为用户提供支持服务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78B198F3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7*24</w:t>
            </w:r>
          </w:p>
        </w:tc>
      </w:tr>
      <w:tr w14:paraId="5670D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15EA94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D860B2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系统软、硬件故障恢复服务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4BEA283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after="24"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7*24</w:t>
            </w:r>
          </w:p>
        </w:tc>
      </w:tr>
    </w:tbl>
    <w:p w14:paraId="0CEBC5C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（2）现场服务：现场发生问题，且通过电话无法解决的。1小时内给出解决问题方案，无法解决的12小时到达现场，排除故障，正常使用。</w:t>
      </w:r>
    </w:p>
    <w:p w14:paraId="33B3A8A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（3）技术咨询服务：可以通过服务电话、邮箱等方式与技术支持工程师进行单独的交流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。</w:t>
      </w:r>
    </w:p>
    <w:p w14:paraId="1AF5F0E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（4）主动服务：每季度定期巡检，对用户所购货物进行现场健康检查，提供维护保养、咨询、升级服务，对产品使用与采购人进行现场技术交流，以提高用户操作和维护水平。</w:t>
      </w:r>
    </w:p>
    <w:p w14:paraId="17C396B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（5）用户档案：为重庆市大足区人民医院电梯安全智能管理系统建立使用档案，并更新、完善数据记录。</w:t>
      </w:r>
    </w:p>
    <w:p w14:paraId="2646657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）因运维主体变更不得导致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本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平台停摆、数据断档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或丢失、用户无法登入或操作等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本平台的原本功能、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使用人员的操作方式、移动端使用体验不因交接而降低。</w:t>
      </w:r>
    </w:p>
    <w:p w14:paraId="2337926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）中标方应延续现有技术路线和部署方式提供运维服务。如中标方提出对系统架构、服务器（云资源）、数据库等进行优化或调整的，须同时满足以下全部条件，否则不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得变更：</w:t>
      </w:r>
    </w:p>
    <w:p w14:paraId="17FFCDA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A.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现有全部功能、性能、接口及数据完整保留或提升；</w:t>
      </w:r>
    </w:p>
    <w:p w14:paraId="75C2573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B.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历史数据完整、安全迁移，数据零丢失、可校验；</w:t>
      </w:r>
    </w:p>
    <w:p w14:paraId="1F72968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C.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业务不中断，具备回退方案；</w:t>
      </w:r>
    </w:p>
    <w:p w14:paraId="49C7BFE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D.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符合网络安全等级保护、数据安全和个人信息保护要求；</w:t>
      </w:r>
    </w:p>
    <w:p w14:paraId="7EE619E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E.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优化、迁移及由此产生的全部费用由中标方承担，采购人不另行支付；</w:t>
      </w:r>
    </w:p>
    <w:p w14:paraId="39F7CDB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F.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实施方案经采购人书面审查同意后方可实施。</w:t>
      </w:r>
    </w:p>
    <w:p w14:paraId="42DB87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ind w:firstLine="48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kern w:val="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24"/>
          <w:lang w:val="en-US" w:eastAsia="zh-CN"/>
        </w:rPr>
        <w:t>三、项目商务要求</w:t>
      </w:r>
    </w:p>
    <w:p w14:paraId="5A1AD74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（一）服务期限、地点及验收方式</w:t>
      </w:r>
    </w:p>
    <w:p w14:paraId="12DDCDC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1.服务期限</w:t>
      </w:r>
    </w:p>
    <w:p w14:paraId="439A79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本项目自合同签订之日起服务两年。（具体以合同签订为准）</w:t>
      </w:r>
    </w:p>
    <w:p w14:paraId="2E03D6A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2.服务地点</w:t>
      </w:r>
    </w:p>
    <w:p w14:paraId="4C729B5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采购人指定地点。</w:t>
      </w:r>
    </w:p>
    <w:p w14:paraId="58F545E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3.验收方式：</w:t>
      </w:r>
    </w:p>
    <w:p w14:paraId="4E24A8BA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（1）根据采购人职能科室要求组织进行验收，签订验收报告。</w:t>
      </w:r>
    </w:p>
    <w:p w14:paraId="6BDFF3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（2）若验收不合格需要整改的，中标人需无偿整改直至合格。</w:t>
      </w:r>
    </w:p>
    <w:p w14:paraId="577D142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（二）报价要求</w:t>
      </w:r>
    </w:p>
    <w:p w14:paraId="3AC33C3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本项目报价分为维保服务报价及设备清单报价，投标人需在投标文件中分别进行明细报价，报价包含完成本项目所有人工、材料、税费、第三方协助维护维修等一切费用的总和；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采购人不组织现场踏看，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投标人应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自行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踏勘并了解现场环境、设备设施、系统部署及交接条件，其投标报价视为已充分考虑现场全部现状及风险；投标人未踏勘现场的，不因此免除其对项目现状的认知和履约责任，也不影响其投标资格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因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投标人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少报、漏报造成的损失，采购人皆不再补偿，由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投标人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自行承担。</w:t>
      </w:r>
    </w:p>
    <w:p w14:paraId="264B64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（三）付款方式</w:t>
      </w:r>
    </w:p>
    <w:p w14:paraId="530D575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1.支付金额：以验收合格书面文件，按相应总价开具正式发票与甲方结算。</w:t>
      </w:r>
    </w:p>
    <w:p w14:paraId="7FB95C5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2.结算方式：甲方转账至乙方银行账户。</w:t>
      </w:r>
    </w:p>
    <w:p w14:paraId="16BFA0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3.结算期限：服务期满3个月后，按实际运维电梯数量验收合格后凭正式发票于10个工作日内支付前3个月费用，以此类推；项目履约结束，验收合格后一次性支付合同余款。</w:t>
      </w:r>
    </w:p>
    <w:p w14:paraId="1A28BA1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（四）质量保证期</w:t>
      </w:r>
    </w:p>
    <w:p w14:paraId="06556D5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①投标人应明确承诺：其投标产品质量保证期按产品规定执行。</w:t>
      </w:r>
    </w:p>
    <w:p w14:paraId="12009AB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②投标产品属于国家规定“三包”范围的，其产品质量保证期不得低于“三包”规定。</w:t>
      </w:r>
    </w:p>
    <w:p w14:paraId="3EB29D0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③投标人的质量保证期承诺优于国家“三包”规定的，按供应商实际承诺执行。</w:t>
      </w:r>
    </w:p>
    <w:p w14:paraId="217C14C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（五）违约责任</w:t>
      </w:r>
    </w:p>
    <w:p w14:paraId="796558F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甲方通过电话通知乙方维修维护，乙方应10分钟内响应。乙方如未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响应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，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甲方有权进行考核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，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详情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如下：</w:t>
      </w:r>
    </w:p>
    <w:p w14:paraId="23CB75C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上门维修维护时间延误超过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双方约定时间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1小时，每次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考核¥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200.00，以此类推；</w:t>
      </w:r>
    </w:p>
    <w:p w14:paraId="25D8624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若乙方因未有按时上门维修维保服务，造成甲方医疗纠纷、经济处罚及赔偿，均由乙方负责赔偿甲方所有损失。</w:t>
      </w:r>
    </w:p>
    <w:p w14:paraId="3522E4A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若甲方在乙方违约时没有依据上述条款对乙方进行索赔处置，并不因此而免除乙方的法律责任。</w:t>
      </w:r>
    </w:p>
    <w:p w14:paraId="725BEDD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六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知识产权与保密</w:t>
      </w:r>
    </w:p>
    <w:p w14:paraId="0A2FEC6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1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平台运行产生的全部数据（含账号、监测、告警、维保、音视频等数据）的所有权、处置权归采购人所有；中标方不得擅自留存、复制、对外提供或用于本项目以外用途。</w:t>
      </w:r>
    </w:p>
    <w:p w14:paraId="0E78E87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中标方应保证其服务不侵犯第三方知识产权；如现有系统软件著作权归原建设单位、中标方需取得原厂商授权或技术支持的，相关事项及费用由中标方自行解决并计入报价，因授权问题导致服务中断的，由中标方承担违约责任。</w:t>
      </w:r>
    </w:p>
    <w:p w14:paraId="4A2A397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中标方对医院信息、患者及员工个人信息、账号密码等承担保密义务，该义务在合同终止后继续有效。</w:t>
      </w:r>
    </w:p>
    <w:p w14:paraId="53C531D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24"/>
          <w:szCs w:val="24"/>
          <w:lang w:val="en-US" w:eastAsia="zh-CN" w:bidi="ar-SA"/>
        </w:rPr>
        <w:t>四、评分标准</w:t>
      </w:r>
    </w:p>
    <w:tbl>
      <w:tblPr>
        <w:tblStyle w:val="5"/>
        <w:tblW w:w="504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175"/>
        <w:gridCol w:w="888"/>
        <w:gridCol w:w="4671"/>
        <w:gridCol w:w="1292"/>
      </w:tblGrid>
      <w:tr w14:paraId="43A1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 w:val="0"/>
            <w:vAlign w:val="center"/>
          </w:tcPr>
          <w:p w14:paraId="1591D9C9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683" w:type="pct"/>
            <w:noWrap w:val="0"/>
            <w:vAlign w:val="center"/>
          </w:tcPr>
          <w:p w14:paraId="5610AD72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评分因素</w:t>
            </w:r>
          </w:p>
          <w:p w14:paraId="308F74DE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及权重</w:t>
            </w:r>
          </w:p>
        </w:tc>
        <w:tc>
          <w:tcPr>
            <w:tcW w:w="516" w:type="pct"/>
            <w:noWrap w:val="0"/>
            <w:vAlign w:val="center"/>
          </w:tcPr>
          <w:p w14:paraId="64F3D778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2715" w:type="pct"/>
            <w:noWrap w:val="0"/>
            <w:vAlign w:val="center"/>
          </w:tcPr>
          <w:p w14:paraId="188139A1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1054" w:firstLineChars="500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评分标准</w:t>
            </w:r>
          </w:p>
        </w:tc>
        <w:tc>
          <w:tcPr>
            <w:tcW w:w="751" w:type="pct"/>
            <w:noWrap w:val="0"/>
            <w:vAlign w:val="center"/>
          </w:tcPr>
          <w:p w14:paraId="293B7971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说明</w:t>
            </w:r>
          </w:p>
        </w:tc>
      </w:tr>
      <w:tr w14:paraId="7F71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 w:val="0"/>
            <w:vAlign w:val="center"/>
          </w:tcPr>
          <w:p w14:paraId="486D297A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683" w:type="pct"/>
            <w:noWrap w:val="0"/>
            <w:vAlign w:val="center"/>
          </w:tcPr>
          <w:p w14:paraId="6515F7FE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投标报价</w:t>
            </w:r>
          </w:p>
          <w:p w14:paraId="682A8D3C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%）</w:t>
            </w:r>
          </w:p>
        </w:tc>
        <w:tc>
          <w:tcPr>
            <w:tcW w:w="516" w:type="pct"/>
            <w:noWrap w:val="0"/>
            <w:vAlign w:val="center"/>
          </w:tcPr>
          <w:p w14:paraId="2D4EA4FB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2715" w:type="pct"/>
            <w:noWrap w:val="0"/>
            <w:vAlign w:val="center"/>
          </w:tcPr>
          <w:p w14:paraId="4F5F7500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有效的投标报价中的最低价为评标基准价，按照下列公式计算每个投标人的投标价格得分。</w:t>
            </w:r>
          </w:p>
          <w:p w14:paraId="072C8316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投标报价得分＝（评标基准价/投标报价）×价格权重×100。</w:t>
            </w:r>
          </w:p>
        </w:tc>
        <w:tc>
          <w:tcPr>
            <w:tcW w:w="751" w:type="pct"/>
            <w:noWrap w:val="0"/>
            <w:vAlign w:val="center"/>
          </w:tcPr>
          <w:p w14:paraId="7F9E6851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投标报价得分以四舍五入保留小数点后二位。</w:t>
            </w:r>
          </w:p>
        </w:tc>
      </w:tr>
      <w:tr w14:paraId="58F1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vMerge w:val="restart"/>
            <w:noWrap w:val="0"/>
            <w:vAlign w:val="center"/>
          </w:tcPr>
          <w:p w14:paraId="26A6B4E0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683" w:type="pct"/>
            <w:vMerge w:val="restart"/>
            <w:noWrap w:val="0"/>
            <w:vAlign w:val="center"/>
          </w:tcPr>
          <w:p w14:paraId="689C8755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技术部分</w:t>
            </w:r>
          </w:p>
          <w:p w14:paraId="3B87B409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%）</w:t>
            </w:r>
          </w:p>
        </w:tc>
        <w:tc>
          <w:tcPr>
            <w:tcW w:w="516" w:type="pct"/>
            <w:noWrap w:val="0"/>
            <w:vAlign w:val="center"/>
          </w:tcPr>
          <w:p w14:paraId="1708C400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2715" w:type="pct"/>
            <w:noWrap w:val="0"/>
            <w:vAlign w:val="center"/>
          </w:tcPr>
          <w:p w14:paraId="22555A5F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运维服务实施方案</w:t>
            </w:r>
          </w:p>
          <w:p w14:paraId="4913BEF1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投标人结合本项目实际情况提供项目完善的服务方案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根据方案的详尽程度及可行性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</w:p>
          <w:p w14:paraId="6F369666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提供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完善、合理的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方案内容不存在瑕疵的，得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5分；方案内容存在1处瑕疵的，得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分；方案内容存在2处瑕疵的，得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分；方案内容存在3处及以上瑕疵或未提供方案不得分。</w:t>
            </w:r>
          </w:p>
        </w:tc>
        <w:tc>
          <w:tcPr>
            <w:tcW w:w="751" w:type="pct"/>
            <w:noWrap w:val="0"/>
            <w:vAlign w:val="center"/>
          </w:tcPr>
          <w:p w14:paraId="0D07AE08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5CB19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vMerge w:val="continue"/>
            <w:noWrap w:val="0"/>
            <w:vAlign w:val="center"/>
          </w:tcPr>
          <w:p w14:paraId="688C46E1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3" w:type="pct"/>
            <w:vMerge w:val="continue"/>
            <w:noWrap w:val="0"/>
            <w:vAlign w:val="center"/>
          </w:tcPr>
          <w:p w14:paraId="643A13D0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516" w:type="pct"/>
            <w:noWrap w:val="0"/>
            <w:vAlign w:val="center"/>
          </w:tcPr>
          <w:p w14:paraId="23E3588C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2715" w:type="pct"/>
            <w:noWrap w:val="0"/>
            <w:vAlign w:val="top"/>
          </w:tcPr>
          <w:p w14:paraId="66E0F479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2.质量保障体系、服务承诺及进度计划</w:t>
            </w:r>
          </w:p>
          <w:p w14:paraId="026CCC46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投标人结合本项目的实际需求，提供本项目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质量保障、服务承诺及进度计划安排方案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</w:p>
          <w:p w14:paraId="4E2875FE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提供的项目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质量保障体系等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方案内容不存在瑕疵的，得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5分；方案内容存在1处瑕疵的，得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分；方案内容存在2处瑕疵的，得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分；方案内容存在3处及以上瑕疵或未提供方案不得分。</w:t>
            </w:r>
          </w:p>
        </w:tc>
        <w:tc>
          <w:tcPr>
            <w:tcW w:w="751" w:type="pct"/>
            <w:noWrap w:val="0"/>
            <w:vAlign w:val="center"/>
          </w:tcPr>
          <w:p w14:paraId="2E697C7B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7355C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vMerge w:val="continue"/>
            <w:noWrap w:val="0"/>
            <w:vAlign w:val="center"/>
          </w:tcPr>
          <w:p w14:paraId="377A8597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3" w:type="pct"/>
            <w:vMerge w:val="continue"/>
            <w:noWrap w:val="0"/>
            <w:vAlign w:val="center"/>
          </w:tcPr>
          <w:p w14:paraId="1B966C3A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516" w:type="pct"/>
            <w:noWrap w:val="0"/>
            <w:vAlign w:val="center"/>
          </w:tcPr>
          <w:p w14:paraId="0485C154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2715" w:type="pct"/>
            <w:noWrap w:val="0"/>
            <w:vAlign w:val="top"/>
          </w:tcPr>
          <w:p w14:paraId="128F5F22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3.人员培训及售后方案</w:t>
            </w:r>
          </w:p>
          <w:p w14:paraId="06B28859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投标人根据本项目实际维保内容，制定详细的人员培训计划方案、详细的售后服务方案：</w:t>
            </w:r>
          </w:p>
          <w:p w14:paraId="4063D4B7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420" w:firstLineChars="2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提供的维保内容、售后等方案内容不存在瑕疵的，得15分；方案内容存在1处瑕疵的，得1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分；方案内容存在2处瑕疵的，得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分；方案内容存在3处及以上瑕疵或未提供方案不得分。</w:t>
            </w:r>
          </w:p>
        </w:tc>
        <w:tc>
          <w:tcPr>
            <w:tcW w:w="751" w:type="pct"/>
            <w:noWrap w:val="0"/>
            <w:vAlign w:val="center"/>
          </w:tcPr>
          <w:p w14:paraId="459D4F10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5E99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vMerge w:val="continue"/>
            <w:noWrap w:val="0"/>
            <w:vAlign w:val="center"/>
          </w:tcPr>
          <w:p w14:paraId="1EE29093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3" w:type="pct"/>
            <w:vMerge w:val="continue"/>
            <w:noWrap w:val="0"/>
            <w:vAlign w:val="center"/>
          </w:tcPr>
          <w:p w14:paraId="6A1582C1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516" w:type="pct"/>
            <w:noWrap w:val="0"/>
            <w:vAlign w:val="center"/>
          </w:tcPr>
          <w:p w14:paraId="71457F55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715" w:type="pct"/>
            <w:noWrap w:val="0"/>
            <w:vAlign w:val="top"/>
          </w:tcPr>
          <w:p w14:paraId="6792B153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4.应急预案</w:t>
            </w:r>
          </w:p>
          <w:p w14:paraId="128FA1FD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投标人提供本项目的应急预案处置方案：</w:t>
            </w:r>
          </w:p>
          <w:p w14:paraId="79052029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420" w:firstLineChars="2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提供的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应急预案处置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等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方案内容不存在瑕疵的，得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5分；方案内容存在1处瑕疵的，得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分；方案内容存在2处瑕疵的，得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分；方案内容存在3处及以上瑕疵或未提供方案不得分。</w:t>
            </w:r>
          </w:p>
        </w:tc>
        <w:tc>
          <w:tcPr>
            <w:tcW w:w="751" w:type="pct"/>
            <w:noWrap w:val="0"/>
            <w:vAlign w:val="center"/>
          </w:tcPr>
          <w:p w14:paraId="70BF3E62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41E83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333" w:type="pct"/>
            <w:noWrap w:val="0"/>
            <w:vAlign w:val="center"/>
          </w:tcPr>
          <w:p w14:paraId="6403D043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683" w:type="pct"/>
            <w:noWrap w:val="0"/>
            <w:vAlign w:val="center"/>
          </w:tcPr>
          <w:p w14:paraId="1908D71B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商务部分</w:t>
            </w:r>
          </w:p>
          <w:p w14:paraId="7355B390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%）</w:t>
            </w:r>
          </w:p>
        </w:tc>
        <w:tc>
          <w:tcPr>
            <w:tcW w:w="516" w:type="pct"/>
            <w:noWrap w:val="0"/>
            <w:vAlign w:val="center"/>
          </w:tcPr>
          <w:p w14:paraId="131A880E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210" w:firstLineChars="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715" w:type="pct"/>
            <w:noWrap w:val="0"/>
            <w:vAlign w:val="center"/>
          </w:tcPr>
          <w:p w14:paraId="70CB768A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firstLine="48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投标人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年1月1日至今（以合同签订时间为准），具有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电梯智能运维服务业绩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的1个得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分，最多得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分。</w:t>
            </w:r>
          </w:p>
        </w:tc>
        <w:tc>
          <w:tcPr>
            <w:tcW w:w="751" w:type="pct"/>
            <w:noWrap w:val="0"/>
            <w:vAlign w:val="center"/>
          </w:tcPr>
          <w:p w14:paraId="377A8164">
            <w:pPr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highlight w:val="none"/>
              </w:rPr>
              <w:t>提供合同复印件并加盖投标人公章</w:t>
            </w:r>
          </w:p>
        </w:tc>
      </w:tr>
    </w:tbl>
    <w:p w14:paraId="3197204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24" w:line="500" w:lineRule="exact"/>
        <w:ind w:firstLine="480" w:firstLineChars="200"/>
        <w:textAlignment w:val="auto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10136B8-A283-43BF-A892-4AEADD1AD26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390F1D0-8BE0-4749-B50E-0EC689FE975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5C8FAD1-1C47-41B0-A904-D15C3A52C8C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ED73126-47CE-4485-9B21-D58F7938C5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646F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8D29B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8D29B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472150"/>
    <w:multiLevelType w:val="singleLevel"/>
    <w:tmpl w:val="A9472150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CC12393F"/>
    <w:multiLevelType w:val="singleLevel"/>
    <w:tmpl w:val="CC12393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4475CF"/>
    <w:rsid w:val="208372EA"/>
    <w:rsid w:val="34B86FA0"/>
    <w:rsid w:val="402A02C2"/>
    <w:rsid w:val="6B353E83"/>
    <w:rsid w:val="6F4475CF"/>
    <w:rsid w:val="7718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U_正文2"/>
    <w:basedOn w:val="1"/>
    <w:qFormat/>
    <w:uiPriority w:val="0"/>
    <w:pPr>
      <w:spacing w:before="10" w:beforeLines="10" w:after="10" w:afterLines="10" w:line="300" w:lineRule="auto"/>
    </w:pPr>
    <w:rPr>
      <w:sz w:val="24"/>
      <w:szCs w:val="20"/>
    </w:rPr>
  </w:style>
  <w:style w:type="character" w:customStyle="1" w:styleId="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2513</Words>
  <Characters>2562</Characters>
  <Lines>0</Lines>
  <Paragraphs>0</Paragraphs>
  <TotalTime>32</TotalTime>
  <ScaleCrop>false</ScaleCrop>
  <LinksUpToDate>false</LinksUpToDate>
  <CharactersWithSpaces>2562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2026-08-27T01:34:00Z</dcterms:created>
  <dc:creator>小朋友提不起劲</dc:creator>
  <cp:lastModifiedBy>小朋友提不起劲</cp:lastModifiedBy>
  <dcterms:modified xsi:type="dcterms:W3CDTF">2026-10-20T00:39:54Z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4EFCF2111D264005BE35C74DDBF8F53B_11</vt:lpwstr>
  </property>
  <property fmtid="{D5CDD505-2E9C-101B-9397-08002B2CF9AE}" pid="4" name="KSOTemplateDocerSaveRecord">
    <vt:lpwstr>eyJoZGlkIjoiZTk0NTNmNjk1YTkyNzIzNThjNjFmNDhiYWFhNWU0NTciLCJ1c2VySWQiOiI1NzIyNzMxMjMifQ==</vt:lpwstr>
  </property>
</Properties>
</file>