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05EDA64">
      <w:pPr>
        <w:spacing w:line="560" w:lineRule="exact"/>
        <w:jc w:val="center"/>
        <w:rPr>
          <w:rFonts w:hint="default" w:ascii="黑体" w:eastAsia="黑体"/>
          <w:b/>
          <w:sz w:val="36"/>
          <w:lang w:val="en-US" w:eastAsia="zh-CN"/>
        </w:rPr>
      </w:pPr>
      <w:r>
        <w:rPr>
          <w:rFonts w:hint="eastAsia" w:ascii="黑体" w:eastAsia="黑体"/>
          <w:b/>
          <w:sz w:val="36"/>
        </w:rPr>
        <w:t>网络安全等级测评服务及商用密码应用安全性评估服务</w:t>
      </w:r>
      <w:r>
        <w:rPr>
          <w:rFonts w:hint="eastAsia" w:ascii="黑体" w:eastAsia="黑体"/>
          <w:b/>
          <w:sz w:val="36"/>
          <w:lang w:val="en-US" w:eastAsia="zh-CN"/>
        </w:rPr>
        <w:t>采购</w:t>
      </w:r>
      <w:bookmarkStart w:id="0" w:name="_GoBack"/>
      <w:bookmarkEnd w:id="0"/>
      <w:r>
        <w:rPr>
          <w:rFonts w:hint="eastAsia" w:ascii="黑体" w:eastAsia="黑体"/>
          <w:b/>
          <w:sz w:val="36"/>
          <w:lang w:val="en-US" w:eastAsia="zh-CN"/>
        </w:rPr>
        <w:t>需求参数</w:t>
      </w:r>
    </w:p>
    <w:p w14:paraId="05DEBB97">
      <w:pPr>
        <w:wordWrap w:val="0"/>
        <w:spacing w:line="400" w:lineRule="exact"/>
        <w:ind w:firstLine="482"/>
        <w:rPr>
          <w:rFonts w:hint="eastAsia" w:ascii="宋体" w:hAnsi="宋体" w:eastAsia="宋体" w:cs="宋体"/>
          <w:b/>
          <w:bCs/>
        </w:rPr>
      </w:pPr>
      <w:r>
        <w:rPr>
          <w:rFonts w:hint="eastAsia" w:ascii="宋体" w:hAnsi="宋体" w:eastAsia="宋体" w:cs="宋体"/>
          <w:b/>
          <w:bCs/>
        </w:rPr>
        <w:t>（一）项目内容</w:t>
      </w:r>
    </w:p>
    <w:tbl>
      <w:tblPr>
        <w:tblStyle w:val="10"/>
        <w:tblW w:w="901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985"/>
        <w:gridCol w:w="3027"/>
        <w:gridCol w:w="1084"/>
        <w:gridCol w:w="1181"/>
        <w:gridCol w:w="1741"/>
      </w:tblGrid>
      <w:tr w14:paraId="0622CA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2" w:hRule="atLeast"/>
          <w:jc w:val="center"/>
        </w:trPr>
        <w:tc>
          <w:tcPr>
            <w:tcW w:w="1985" w:type="dxa"/>
            <w:tcBorders>
              <w:top w:val="single" w:color="auto" w:sz="4" w:space="0"/>
              <w:left w:val="single" w:color="auto" w:sz="4" w:space="0"/>
              <w:bottom w:val="single" w:color="auto" w:sz="4" w:space="0"/>
              <w:right w:val="single" w:color="auto" w:sz="4" w:space="0"/>
            </w:tcBorders>
            <w:vAlign w:val="center"/>
          </w:tcPr>
          <w:p w14:paraId="72E5E2D9">
            <w:pPr>
              <w:wordWrap w:val="0"/>
              <w:spacing w:line="400" w:lineRule="exact"/>
              <w:ind w:firstLine="0" w:firstLineChars="0"/>
              <w:jc w:val="center"/>
              <w:rPr>
                <w:rFonts w:hint="eastAsia" w:ascii="宋体" w:hAnsi="宋体" w:eastAsia="宋体" w:cs="宋体"/>
                <w:color w:val="auto"/>
              </w:rPr>
            </w:pPr>
            <w:r>
              <w:rPr>
                <w:rFonts w:hint="eastAsia" w:ascii="宋体" w:hAnsi="宋体" w:eastAsia="宋体" w:cs="宋体"/>
                <w:color w:val="auto"/>
              </w:rPr>
              <w:t>项 目 名 称</w:t>
            </w:r>
          </w:p>
        </w:tc>
        <w:tc>
          <w:tcPr>
            <w:tcW w:w="3027" w:type="dxa"/>
            <w:tcBorders>
              <w:top w:val="single" w:color="auto" w:sz="4" w:space="0"/>
              <w:left w:val="nil"/>
              <w:bottom w:val="single" w:color="auto" w:sz="4" w:space="0"/>
              <w:right w:val="single" w:color="auto" w:sz="4" w:space="0"/>
            </w:tcBorders>
            <w:vAlign w:val="center"/>
          </w:tcPr>
          <w:p w14:paraId="58212DB5">
            <w:pPr>
              <w:wordWrap w:val="0"/>
              <w:spacing w:line="400" w:lineRule="exact"/>
              <w:ind w:firstLine="0" w:firstLineChars="0"/>
              <w:jc w:val="center"/>
              <w:rPr>
                <w:rFonts w:hint="eastAsia" w:ascii="宋体" w:hAnsi="宋体" w:eastAsia="宋体" w:cs="宋体"/>
                <w:color w:val="auto"/>
              </w:rPr>
            </w:pPr>
            <w:r>
              <w:rPr>
                <w:rFonts w:hint="eastAsia" w:ascii="宋体" w:hAnsi="宋体" w:eastAsia="宋体" w:cs="宋体"/>
                <w:color w:val="auto"/>
              </w:rPr>
              <w:t>系统名称</w:t>
            </w:r>
          </w:p>
        </w:tc>
        <w:tc>
          <w:tcPr>
            <w:tcW w:w="1084" w:type="dxa"/>
            <w:tcBorders>
              <w:top w:val="single" w:color="auto" w:sz="4" w:space="0"/>
              <w:left w:val="nil"/>
              <w:bottom w:val="single" w:color="auto" w:sz="4" w:space="0"/>
              <w:right w:val="single" w:color="auto" w:sz="4" w:space="0"/>
            </w:tcBorders>
            <w:vAlign w:val="center"/>
          </w:tcPr>
          <w:p w14:paraId="16698AAA">
            <w:pPr>
              <w:wordWrap w:val="0"/>
              <w:spacing w:line="400" w:lineRule="exact"/>
              <w:ind w:firstLine="0" w:firstLineChars="0"/>
              <w:jc w:val="center"/>
              <w:rPr>
                <w:rFonts w:hint="eastAsia" w:ascii="宋体" w:hAnsi="宋体" w:eastAsia="宋体" w:cs="宋体"/>
                <w:color w:val="auto"/>
              </w:rPr>
            </w:pPr>
            <w:r>
              <w:rPr>
                <w:rFonts w:hint="eastAsia" w:ascii="宋体" w:hAnsi="宋体" w:eastAsia="宋体" w:cs="宋体"/>
                <w:color w:val="auto"/>
              </w:rPr>
              <w:t>定级</w:t>
            </w:r>
          </w:p>
        </w:tc>
        <w:tc>
          <w:tcPr>
            <w:tcW w:w="1181" w:type="dxa"/>
            <w:tcBorders>
              <w:top w:val="single" w:color="auto" w:sz="4" w:space="0"/>
              <w:left w:val="nil"/>
              <w:bottom w:val="single" w:color="auto" w:sz="4" w:space="0"/>
              <w:right w:val="single" w:color="auto" w:sz="4" w:space="0"/>
            </w:tcBorders>
            <w:vAlign w:val="center"/>
          </w:tcPr>
          <w:p w14:paraId="4B5E799A">
            <w:pPr>
              <w:wordWrap w:val="0"/>
              <w:spacing w:line="400" w:lineRule="exact"/>
              <w:ind w:firstLine="0" w:firstLineChars="0"/>
              <w:jc w:val="center"/>
              <w:rPr>
                <w:rFonts w:hint="eastAsia" w:ascii="宋体" w:hAnsi="宋体" w:eastAsia="宋体" w:cs="宋体"/>
                <w:color w:val="auto"/>
              </w:rPr>
            </w:pPr>
            <w:r>
              <w:rPr>
                <w:rFonts w:hint="eastAsia" w:ascii="宋体" w:hAnsi="宋体" w:eastAsia="宋体" w:cs="宋体"/>
                <w:color w:val="auto"/>
              </w:rPr>
              <w:t>数量</w:t>
            </w:r>
          </w:p>
        </w:tc>
        <w:tc>
          <w:tcPr>
            <w:tcW w:w="1741" w:type="dxa"/>
            <w:tcBorders>
              <w:top w:val="single" w:color="auto" w:sz="4" w:space="0"/>
              <w:left w:val="nil"/>
              <w:bottom w:val="single" w:color="auto" w:sz="4" w:space="0"/>
              <w:right w:val="single" w:color="auto" w:sz="4" w:space="0"/>
            </w:tcBorders>
            <w:vAlign w:val="top"/>
          </w:tcPr>
          <w:p w14:paraId="0980DFF7">
            <w:pPr>
              <w:wordWrap w:val="0"/>
              <w:spacing w:line="400" w:lineRule="exact"/>
              <w:ind w:firstLine="0" w:firstLineChars="0"/>
              <w:jc w:val="center"/>
              <w:rPr>
                <w:rFonts w:hint="eastAsia" w:ascii="宋体" w:hAnsi="宋体" w:eastAsia="宋体" w:cs="宋体"/>
                <w:color w:val="auto"/>
              </w:rPr>
            </w:pPr>
          </w:p>
        </w:tc>
      </w:tr>
      <w:tr w14:paraId="7C8A0A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3" w:hRule="atLeast"/>
          <w:jc w:val="center"/>
        </w:trPr>
        <w:tc>
          <w:tcPr>
            <w:tcW w:w="1985" w:type="dxa"/>
            <w:vMerge w:val="restart"/>
            <w:tcBorders>
              <w:top w:val="nil"/>
              <w:left w:val="single" w:color="auto" w:sz="4" w:space="0"/>
              <w:right w:val="single" w:color="auto" w:sz="4" w:space="0"/>
            </w:tcBorders>
            <w:vAlign w:val="center"/>
          </w:tcPr>
          <w:p w14:paraId="44A137FC">
            <w:pPr>
              <w:wordWrap w:val="0"/>
              <w:spacing w:line="400" w:lineRule="exact"/>
              <w:ind w:firstLine="0" w:firstLineChars="0"/>
              <w:jc w:val="center"/>
              <w:rPr>
                <w:rFonts w:hint="eastAsia" w:ascii="宋体" w:hAnsi="宋体" w:eastAsia="宋体" w:cs="宋体"/>
                <w:color w:val="auto"/>
              </w:rPr>
            </w:pPr>
            <w:r>
              <w:rPr>
                <w:rFonts w:hint="eastAsia" w:ascii="宋体" w:hAnsi="宋体" w:eastAsia="宋体" w:cs="宋体"/>
                <w:color w:val="auto"/>
              </w:rPr>
              <w:t>等保测评项目</w:t>
            </w:r>
          </w:p>
        </w:tc>
        <w:tc>
          <w:tcPr>
            <w:tcW w:w="3027" w:type="dxa"/>
            <w:tcBorders>
              <w:top w:val="single" w:color="auto" w:sz="4" w:space="0"/>
              <w:left w:val="nil"/>
              <w:bottom w:val="single" w:color="auto" w:sz="4" w:space="0"/>
              <w:right w:val="single" w:color="auto" w:sz="4" w:space="0"/>
            </w:tcBorders>
            <w:vAlign w:val="center"/>
          </w:tcPr>
          <w:p w14:paraId="36E91177">
            <w:pPr>
              <w:wordWrap w:val="0"/>
              <w:spacing w:line="400" w:lineRule="exact"/>
              <w:ind w:firstLine="0" w:firstLineChars="0"/>
              <w:jc w:val="center"/>
              <w:rPr>
                <w:rFonts w:hint="eastAsia" w:ascii="宋体" w:hAnsi="宋体" w:eastAsia="宋体" w:cs="宋体"/>
                <w:color w:val="auto"/>
              </w:rPr>
            </w:pPr>
            <w:r>
              <w:rPr>
                <w:rFonts w:hint="eastAsia" w:ascii="宋体" w:hAnsi="宋体" w:eastAsia="宋体" w:cs="宋体"/>
                <w:color w:val="auto"/>
              </w:rPr>
              <w:t>HIS系统</w:t>
            </w:r>
          </w:p>
        </w:tc>
        <w:tc>
          <w:tcPr>
            <w:tcW w:w="1084" w:type="dxa"/>
            <w:tcBorders>
              <w:top w:val="single" w:color="auto" w:sz="4" w:space="0"/>
              <w:left w:val="nil"/>
              <w:bottom w:val="single" w:color="auto" w:sz="4" w:space="0"/>
              <w:right w:val="single" w:color="auto" w:sz="4" w:space="0"/>
            </w:tcBorders>
            <w:vAlign w:val="center"/>
          </w:tcPr>
          <w:p w14:paraId="111803EA">
            <w:pPr>
              <w:wordWrap w:val="0"/>
              <w:spacing w:line="400" w:lineRule="exact"/>
              <w:ind w:firstLine="0" w:firstLineChars="0"/>
              <w:jc w:val="center"/>
              <w:rPr>
                <w:rFonts w:hint="eastAsia" w:ascii="宋体" w:hAnsi="宋体" w:eastAsia="宋体" w:cs="宋体"/>
                <w:color w:val="auto"/>
              </w:rPr>
            </w:pPr>
            <w:r>
              <w:rPr>
                <w:rFonts w:hint="eastAsia" w:ascii="宋体" w:hAnsi="宋体" w:eastAsia="宋体" w:cs="宋体"/>
                <w:color w:val="auto"/>
              </w:rPr>
              <w:t>三级</w:t>
            </w:r>
          </w:p>
        </w:tc>
        <w:tc>
          <w:tcPr>
            <w:tcW w:w="1181" w:type="dxa"/>
            <w:tcBorders>
              <w:top w:val="single" w:color="auto" w:sz="4" w:space="0"/>
              <w:left w:val="nil"/>
              <w:bottom w:val="single" w:color="auto" w:sz="4" w:space="0"/>
              <w:right w:val="single" w:color="auto" w:sz="4" w:space="0"/>
            </w:tcBorders>
            <w:vAlign w:val="center"/>
          </w:tcPr>
          <w:p w14:paraId="3C5B26D6">
            <w:pPr>
              <w:wordWrap w:val="0"/>
              <w:spacing w:line="400" w:lineRule="exact"/>
              <w:ind w:firstLine="0" w:firstLineChars="0"/>
              <w:jc w:val="center"/>
              <w:rPr>
                <w:rFonts w:hint="eastAsia" w:ascii="宋体" w:hAnsi="宋体" w:eastAsia="宋体" w:cs="宋体"/>
                <w:color w:val="auto"/>
              </w:rPr>
            </w:pPr>
            <w:r>
              <w:rPr>
                <w:rFonts w:hint="eastAsia" w:ascii="宋体" w:hAnsi="宋体" w:eastAsia="宋体" w:cs="宋体"/>
                <w:color w:val="auto"/>
              </w:rPr>
              <w:t>1个</w:t>
            </w:r>
          </w:p>
        </w:tc>
        <w:tc>
          <w:tcPr>
            <w:tcW w:w="1741" w:type="dxa"/>
            <w:tcBorders>
              <w:top w:val="single" w:color="auto" w:sz="4" w:space="0"/>
              <w:left w:val="nil"/>
              <w:bottom w:val="single" w:color="auto" w:sz="4" w:space="0"/>
              <w:right w:val="single" w:color="auto" w:sz="4" w:space="0"/>
            </w:tcBorders>
            <w:vAlign w:val="top"/>
          </w:tcPr>
          <w:p w14:paraId="05D5039B">
            <w:pPr>
              <w:wordWrap w:val="0"/>
              <w:spacing w:line="400" w:lineRule="exact"/>
              <w:ind w:firstLine="0" w:firstLineChars="0"/>
              <w:jc w:val="center"/>
              <w:rPr>
                <w:rFonts w:hint="eastAsia" w:ascii="宋体" w:hAnsi="宋体" w:eastAsia="宋体" w:cs="宋体"/>
                <w:color w:val="auto"/>
              </w:rPr>
            </w:pPr>
          </w:p>
        </w:tc>
      </w:tr>
      <w:tr w14:paraId="100A52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1" w:hRule="atLeast"/>
          <w:jc w:val="center"/>
        </w:trPr>
        <w:tc>
          <w:tcPr>
            <w:tcW w:w="1985" w:type="dxa"/>
            <w:vMerge w:val="continue"/>
            <w:tcBorders>
              <w:left w:val="single" w:color="auto" w:sz="4" w:space="0"/>
              <w:right w:val="single" w:color="auto" w:sz="4" w:space="0"/>
            </w:tcBorders>
            <w:vAlign w:val="center"/>
          </w:tcPr>
          <w:p w14:paraId="6A4AD001">
            <w:pPr>
              <w:wordWrap w:val="0"/>
              <w:spacing w:line="400" w:lineRule="exact"/>
              <w:ind w:firstLine="0" w:firstLineChars="0"/>
              <w:jc w:val="center"/>
              <w:rPr>
                <w:rFonts w:hint="eastAsia" w:ascii="宋体" w:hAnsi="宋体" w:eastAsia="宋体" w:cs="宋体"/>
                <w:color w:val="auto"/>
              </w:rPr>
            </w:pPr>
          </w:p>
        </w:tc>
        <w:tc>
          <w:tcPr>
            <w:tcW w:w="3027" w:type="dxa"/>
            <w:tcBorders>
              <w:top w:val="single" w:color="auto" w:sz="4" w:space="0"/>
              <w:left w:val="nil"/>
              <w:bottom w:val="single" w:color="auto" w:sz="4" w:space="0"/>
              <w:right w:val="single" w:color="auto" w:sz="4" w:space="0"/>
            </w:tcBorders>
            <w:vAlign w:val="center"/>
          </w:tcPr>
          <w:p w14:paraId="37D77985">
            <w:pPr>
              <w:wordWrap w:val="0"/>
              <w:spacing w:line="400" w:lineRule="exact"/>
              <w:ind w:firstLine="0" w:firstLineChars="0"/>
              <w:jc w:val="center"/>
              <w:rPr>
                <w:rFonts w:hint="eastAsia" w:ascii="宋体" w:hAnsi="宋体" w:eastAsia="宋体" w:cs="宋体"/>
                <w:color w:val="auto"/>
              </w:rPr>
            </w:pPr>
            <w:r>
              <w:rPr>
                <w:rFonts w:hint="eastAsia" w:ascii="宋体" w:hAnsi="宋体" w:eastAsia="宋体" w:cs="宋体"/>
                <w:color w:val="auto"/>
              </w:rPr>
              <w:t>医院信息集成平台</w:t>
            </w:r>
          </w:p>
        </w:tc>
        <w:tc>
          <w:tcPr>
            <w:tcW w:w="1084" w:type="dxa"/>
            <w:tcBorders>
              <w:top w:val="single" w:color="auto" w:sz="4" w:space="0"/>
              <w:left w:val="nil"/>
              <w:bottom w:val="single" w:color="auto" w:sz="4" w:space="0"/>
              <w:right w:val="single" w:color="auto" w:sz="4" w:space="0"/>
            </w:tcBorders>
            <w:vAlign w:val="center"/>
          </w:tcPr>
          <w:p w14:paraId="2098A116">
            <w:pPr>
              <w:wordWrap w:val="0"/>
              <w:spacing w:line="400" w:lineRule="exact"/>
              <w:ind w:firstLine="0" w:firstLineChars="0"/>
              <w:jc w:val="center"/>
              <w:rPr>
                <w:rFonts w:hint="eastAsia" w:ascii="宋体" w:hAnsi="宋体" w:eastAsia="宋体" w:cs="宋体"/>
                <w:color w:val="auto"/>
              </w:rPr>
            </w:pPr>
            <w:r>
              <w:rPr>
                <w:rFonts w:hint="eastAsia" w:ascii="宋体" w:hAnsi="宋体" w:eastAsia="宋体" w:cs="宋体"/>
                <w:color w:val="auto"/>
              </w:rPr>
              <w:t>三级</w:t>
            </w:r>
          </w:p>
        </w:tc>
        <w:tc>
          <w:tcPr>
            <w:tcW w:w="1181" w:type="dxa"/>
            <w:tcBorders>
              <w:top w:val="single" w:color="auto" w:sz="4" w:space="0"/>
              <w:left w:val="nil"/>
              <w:bottom w:val="single" w:color="auto" w:sz="4" w:space="0"/>
              <w:right w:val="single" w:color="auto" w:sz="4" w:space="0"/>
            </w:tcBorders>
            <w:vAlign w:val="center"/>
          </w:tcPr>
          <w:p w14:paraId="06EA9510">
            <w:pPr>
              <w:wordWrap w:val="0"/>
              <w:spacing w:line="400" w:lineRule="exact"/>
              <w:ind w:firstLine="0" w:firstLineChars="0"/>
              <w:jc w:val="center"/>
              <w:rPr>
                <w:rFonts w:hint="eastAsia" w:ascii="宋体" w:hAnsi="宋体" w:eastAsia="宋体" w:cs="宋体"/>
                <w:color w:val="auto"/>
              </w:rPr>
            </w:pPr>
            <w:r>
              <w:rPr>
                <w:rFonts w:hint="eastAsia" w:ascii="宋体" w:hAnsi="宋体" w:eastAsia="宋体" w:cs="宋体"/>
                <w:color w:val="auto"/>
              </w:rPr>
              <w:t>1个</w:t>
            </w:r>
          </w:p>
        </w:tc>
        <w:tc>
          <w:tcPr>
            <w:tcW w:w="1741" w:type="dxa"/>
            <w:tcBorders>
              <w:top w:val="single" w:color="auto" w:sz="4" w:space="0"/>
              <w:left w:val="nil"/>
              <w:bottom w:val="single" w:color="auto" w:sz="4" w:space="0"/>
              <w:right w:val="single" w:color="auto" w:sz="4" w:space="0"/>
            </w:tcBorders>
            <w:vAlign w:val="top"/>
          </w:tcPr>
          <w:p w14:paraId="65334DB2">
            <w:pPr>
              <w:wordWrap w:val="0"/>
              <w:spacing w:line="400" w:lineRule="exact"/>
              <w:ind w:firstLine="0" w:firstLineChars="0"/>
              <w:jc w:val="center"/>
              <w:rPr>
                <w:rFonts w:hint="eastAsia" w:ascii="宋体" w:hAnsi="宋体" w:eastAsia="宋体" w:cs="宋体"/>
                <w:color w:val="auto"/>
              </w:rPr>
            </w:pPr>
          </w:p>
        </w:tc>
      </w:tr>
      <w:tr w14:paraId="24509E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7" w:hRule="atLeast"/>
          <w:jc w:val="center"/>
        </w:trPr>
        <w:tc>
          <w:tcPr>
            <w:tcW w:w="1985" w:type="dxa"/>
            <w:vMerge w:val="continue"/>
            <w:tcBorders>
              <w:left w:val="single" w:color="auto" w:sz="4" w:space="0"/>
              <w:right w:val="single" w:color="auto" w:sz="4" w:space="0"/>
            </w:tcBorders>
            <w:vAlign w:val="center"/>
          </w:tcPr>
          <w:p w14:paraId="40ABA276">
            <w:pPr>
              <w:wordWrap w:val="0"/>
              <w:spacing w:line="400" w:lineRule="exact"/>
              <w:ind w:firstLine="0" w:firstLineChars="0"/>
              <w:jc w:val="center"/>
              <w:rPr>
                <w:rFonts w:hint="eastAsia" w:ascii="宋体" w:hAnsi="宋体" w:eastAsia="宋体" w:cs="宋体"/>
                <w:color w:val="auto"/>
              </w:rPr>
            </w:pPr>
          </w:p>
        </w:tc>
        <w:tc>
          <w:tcPr>
            <w:tcW w:w="3027" w:type="dxa"/>
            <w:tcBorders>
              <w:top w:val="single" w:color="auto" w:sz="4" w:space="0"/>
              <w:left w:val="nil"/>
              <w:bottom w:val="single" w:color="auto" w:sz="4" w:space="0"/>
              <w:right w:val="single" w:color="auto" w:sz="4" w:space="0"/>
            </w:tcBorders>
            <w:vAlign w:val="center"/>
          </w:tcPr>
          <w:p w14:paraId="5CA8CF93">
            <w:pPr>
              <w:wordWrap w:val="0"/>
              <w:spacing w:line="400" w:lineRule="exact"/>
              <w:ind w:firstLine="0" w:firstLineChars="0"/>
              <w:jc w:val="center"/>
              <w:rPr>
                <w:rFonts w:hint="eastAsia" w:ascii="宋体" w:hAnsi="宋体" w:eastAsia="宋体" w:cs="宋体"/>
                <w:color w:val="auto"/>
              </w:rPr>
            </w:pPr>
            <w:r>
              <w:rPr>
                <w:rFonts w:hint="eastAsia" w:ascii="宋体" w:hAnsi="宋体" w:eastAsia="宋体" w:cs="宋体"/>
                <w:color w:val="auto"/>
              </w:rPr>
              <w:t>互联网医院</w:t>
            </w:r>
          </w:p>
        </w:tc>
        <w:tc>
          <w:tcPr>
            <w:tcW w:w="1084" w:type="dxa"/>
            <w:tcBorders>
              <w:top w:val="single" w:color="auto" w:sz="4" w:space="0"/>
              <w:left w:val="nil"/>
              <w:bottom w:val="single" w:color="auto" w:sz="4" w:space="0"/>
              <w:right w:val="single" w:color="auto" w:sz="4" w:space="0"/>
            </w:tcBorders>
            <w:vAlign w:val="center"/>
          </w:tcPr>
          <w:p w14:paraId="72D696D4">
            <w:pPr>
              <w:wordWrap w:val="0"/>
              <w:spacing w:line="400" w:lineRule="exact"/>
              <w:ind w:firstLine="0" w:firstLineChars="0"/>
              <w:jc w:val="center"/>
              <w:rPr>
                <w:rFonts w:hint="eastAsia" w:ascii="宋体" w:hAnsi="宋体" w:eastAsia="宋体" w:cs="宋体"/>
                <w:color w:val="auto"/>
              </w:rPr>
            </w:pPr>
            <w:r>
              <w:rPr>
                <w:rFonts w:hint="eastAsia" w:ascii="宋体" w:hAnsi="宋体" w:eastAsia="宋体" w:cs="宋体"/>
                <w:color w:val="auto"/>
              </w:rPr>
              <w:t>三级</w:t>
            </w:r>
          </w:p>
        </w:tc>
        <w:tc>
          <w:tcPr>
            <w:tcW w:w="1181" w:type="dxa"/>
            <w:tcBorders>
              <w:top w:val="single" w:color="auto" w:sz="4" w:space="0"/>
              <w:left w:val="nil"/>
              <w:bottom w:val="single" w:color="auto" w:sz="4" w:space="0"/>
              <w:right w:val="single" w:color="auto" w:sz="4" w:space="0"/>
            </w:tcBorders>
            <w:vAlign w:val="center"/>
          </w:tcPr>
          <w:p w14:paraId="3A511D80">
            <w:pPr>
              <w:wordWrap w:val="0"/>
              <w:spacing w:line="400" w:lineRule="exact"/>
              <w:ind w:firstLine="0" w:firstLineChars="0"/>
              <w:jc w:val="center"/>
              <w:rPr>
                <w:rFonts w:hint="eastAsia" w:ascii="宋体" w:hAnsi="宋体" w:eastAsia="宋体" w:cs="宋体"/>
                <w:color w:val="auto"/>
              </w:rPr>
            </w:pPr>
            <w:r>
              <w:rPr>
                <w:rFonts w:hint="eastAsia" w:ascii="宋体" w:hAnsi="宋体" w:eastAsia="宋体" w:cs="宋体"/>
                <w:color w:val="auto"/>
              </w:rPr>
              <w:t>1个</w:t>
            </w:r>
          </w:p>
        </w:tc>
        <w:tc>
          <w:tcPr>
            <w:tcW w:w="1741" w:type="dxa"/>
            <w:tcBorders>
              <w:top w:val="single" w:color="auto" w:sz="4" w:space="0"/>
              <w:left w:val="nil"/>
              <w:bottom w:val="single" w:color="auto" w:sz="4" w:space="0"/>
              <w:right w:val="single" w:color="auto" w:sz="4" w:space="0"/>
            </w:tcBorders>
            <w:vAlign w:val="top"/>
          </w:tcPr>
          <w:p w14:paraId="07EFDF2F">
            <w:pPr>
              <w:wordWrap w:val="0"/>
              <w:spacing w:line="400" w:lineRule="exact"/>
              <w:ind w:firstLine="0" w:firstLineChars="0"/>
              <w:jc w:val="center"/>
              <w:rPr>
                <w:rFonts w:hint="eastAsia" w:ascii="宋体" w:hAnsi="宋体" w:eastAsia="宋体" w:cs="宋体"/>
                <w:color w:val="auto"/>
              </w:rPr>
            </w:pPr>
          </w:p>
        </w:tc>
      </w:tr>
      <w:tr w14:paraId="090F94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4" w:hRule="atLeast"/>
          <w:jc w:val="center"/>
        </w:trPr>
        <w:tc>
          <w:tcPr>
            <w:tcW w:w="1985" w:type="dxa"/>
            <w:vMerge w:val="continue"/>
            <w:tcBorders>
              <w:left w:val="single" w:color="auto" w:sz="4" w:space="0"/>
              <w:right w:val="single" w:color="auto" w:sz="4" w:space="0"/>
            </w:tcBorders>
            <w:vAlign w:val="center"/>
          </w:tcPr>
          <w:p w14:paraId="52CCC2E9">
            <w:pPr>
              <w:wordWrap w:val="0"/>
              <w:spacing w:line="400" w:lineRule="exact"/>
              <w:ind w:firstLine="0" w:firstLineChars="0"/>
              <w:jc w:val="center"/>
              <w:rPr>
                <w:rFonts w:hint="eastAsia" w:ascii="宋体" w:hAnsi="宋体" w:eastAsia="宋体" w:cs="宋体"/>
                <w:color w:val="auto"/>
              </w:rPr>
            </w:pPr>
          </w:p>
        </w:tc>
        <w:tc>
          <w:tcPr>
            <w:tcW w:w="3027" w:type="dxa"/>
            <w:tcBorders>
              <w:top w:val="single" w:color="auto" w:sz="4" w:space="0"/>
              <w:left w:val="nil"/>
              <w:bottom w:val="single" w:color="auto" w:sz="4" w:space="0"/>
              <w:right w:val="single" w:color="auto" w:sz="4" w:space="0"/>
            </w:tcBorders>
            <w:vAlign w:val="center"/>
          </w:tcPr>
          <w:p w14:paraId="06BEB7F8">
            <w:pPr>
              <w:wordWrap w:val="0"/>
              <w:spacing w:line="400" w:lineRule="exact"/>
              <w:ind w:firstLine="0" w:firstLineChars="0"/>
              <w:jc w:val="center"/>
              <w:rPr>
                <w:rFonts w:hint="eastAsia" w:ascii="宋体" w:hAnsi="宋体" w:eastAsia="宋体" w:cs="宋体"/>
                <w:color w:val="auto"/>
                <w:lang w:eastAsia="zh-CN"/>
              </w:rPr>
            </w:pPr>
            <w:r>
              <w:rPr>
                <w:rFonts w:hint="eastAsia" w:ascii="宋体" w:hAnsi="宋体" w:eastAsia="宋体" w:cs="宋体"/>
                <w:color w:val="auto"/>
                <w:lang w:eastAsia="zh-CN"/>
              </w:rPr>
              <w:t>检验管理系统</w:t>
            </w:r>
          </w:p>
        </w:tc>
        <w:tc>
          <w:tcPr>
            <w:tcW w:w="1084" w:type="dxa"/>
            <w:tcBorders>
              <w:top w:val="single" w:color="auto" w:sz="4" w:space="0"/>
              <w:left w:val="nil"/>
              <w:bottom w:val="single" w:color="auto" w:sz="4" w:space="0"/>
              <w:right w:val="single" w:color="auto" w:sz="4" w:space="0"/>
            </w:tcBorders>
            <w:vAlign w:val="center"/>
          </w:tcPr>
          <w:p w14:paraId="7E535E9A">
            <w:pPr>
              <w:wordWrap w:val="0"/>
              <w:spacing w:line="400" w:lineRule="exact"/>
              <w:ind w:firstLine="0" w:firstLineChars="0"/>
              <w:jc w:val="center"/>
              <w:rPr>
                <w:rFonts w:hint="eastAsia" w:ascii="宋体" w:hAnsi="宋体" w:eastAsia="宋体" w:cs="宋体"/>
                <w:color w:val="auto"/>
              </w:rPr>
            </w:pPr>
            <w:r>
              <w:rPr>
                <w:rFonts w:hint="eastAsia" w:ascii="宋体" w:hAnsi="宋体" w:eastAsia="宋体" w:cs="宋体"/>
                <w:color w:val="auto"/>
              </w:rPr>
              <w:t>二级</w:t>
            </w:r>
          </w:p>
        </w:tc>
        <w:tc>
          <w:tcPr>
            <w:tcW w:w="1181" w:type="dxa"/>
            <w:tcBorders>
              <w:top w:val="single" w:color="auto" w:sz="4" w:space="0"/>
              <w:left w:val="nil"/>
              <w:bottom w:val="single" w:color="auto" w:sz="4" w:space="0"/>
              <w:right w:val="single" w:color="auto" w:sz="4" w:space="0"/>
            </w:tcBorders>
            <w:vAlign w:val="center"/>
          </w:tcPr>
          <w:p w14:paraId="67D47A64">
            <w:pPr>
              <w:wordWrap w:val="0"/>
              <w:spacing w:line="400" w:lineRule="exact"/>
              <w:ind w:firstLine="0" w:firstLineChars="0"/>
              <w:jc w:val="center"/>
              <w:rPr>
                <w:rFonts w:hint="eastAsia" w:ascii="宋体" w:hAnsi="宋体" w:eastAsia="宋体" w:cs="宋体"/>
                <w:color w:val="auto"/>
              </w:rPr>
            </w:pPr>
            <w:r>
              <w:rPr>
                <w:rFonts w:hint="eastAsia" w:ascii="宋体" w:hAnsi="宋体" w:eastAsia="宋体" w:cs="宋体"/>
                <w:color w:val="auto"/>
              </w:rPr>
              <w:t>1个</w:t>
            </w:r>
          </w:p>
        </w:tc>
        <w:tc>
          <w:tcPr>
            <w:tcW w:w="1741" w:type="dxa"/>
            <w:tcBorders>
              <w:top w:val="single" w:color="auto" w:sz="4" w:space="0"/>
              <w:left w:val="nil"/>
              <w:bottom w:val="single" w:color="auto" w:sz="4" w:space="0"/>
              <w:right w:val="single" w:color="auto" w:sz="4" w:space="0"/>
            </w:tcBorders>
            <w:vAlign w:val="top"/>
          </w:tcPr>
          <w:p w14:paraId="512797E4">
            <w:pPr>
              <w:wordWrap w:val="0"/>
              <w:spacing w:line="400" w:lineRule="exact"/>
              <w:ind w:firstLine="0" w:firstLineChars="0"/>
              <w:jc w:val="center"/>
              <w:rPr>
                <w:rFonts w:hint="eastAsia" w:ascii="宋体" w:hAnsi="宋体" w:eastAsia="宋体" w:cs="宋体"/>
                <w:color w:val="auto"/>
              </w:rPr>
            </w:pPr>
          </w:p>
        </w:tc>
      </w:tr>
      <w:tr w14:paraId="133FA2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8" w:hRule="atLeast"/>
          <w:jc w:val="center"/>
        </w:trPr>
        <w:tc>
          <w:tcPr>
            <w:tcW w:w="1985" w:type="dxa"/>
            <w:vMerge w:val="continue"/>
            <w:tcBorders>
              <w:left w:val="single" w:color="auto" w:sz="4" w:space="0"/>
              <w:right w:val="single" w:color="auto" w:sz="4" w:space="0"/>
            </w:tcBorders>
            <w:vAlign w:val="center"/>
          </w:tcPr>
          <w:p w14:paraId="57C89139">
            <w:pPr>
              <w:wordWrap w:val="0"/>
              <w:spacing w:line="400" w:lineRule="exact"/>
              <w:ind w:firstLine="0" w:firstLineChars="0"/>
              <w:jc w:val="center"/>
              <w:rPr>
                <w:rFonts w:hint="eastAsia" w:ascii="宋体" w:hAnsi="宋体" w:eastAsia="宋体" w:cs="宋体"/>
                <w:color w:val="auto"/>
              </w:rPr>
            </w:pPr>
          </w:p>
        </w:tc>
        <w:tc>
          <w:tcPr>
            <w:tcW w:w="3027" w:type="dxa"/>
            <w:tcBorders>
              <w:top w:val="single" w:color="auto" w:sz="4" w:space="0"/>
              <w:left w:val="nil"/>
              <w:bottom w:val="single" w:color="auto" w:sz="4" w:space="0"/>
              <w:right w:val="single" w:color="auto" w:sz="4" w:space="0"/>
            </w:tcBorders>
            <w:vAlign w:val="center"/>
          </w:tcPr>
          <w:p w14:paraId="3F1642F7">
            <w:pPr>
              <w:wordWrap w:val="0"/>
              <w:spacing w:line="400" w:lineRule="exact"/>
              <w:ind w:firstLine="0" w:firstLineChars="0"/>
              <w:jc w:val="center"/>
              <w:rPr>
                <w:rFonts w:hint="eastAsia" w:ascii="宋体" w:hAnsi="宋体" w:eastAsia="宋体" w:cs="宋体"/>
                <w:color w:val="auto"/>
              </w:rPr>
            </w:pPr>
            <w:r>
              <w:rPr>
                <w:rFonts w:hint="eastAsia" w:ascii="宋体" w:hAnsi="宋体" w:eastAsia="宋体" w:cs="宋体"/>
                <w:color w:val="auto"/>
              </w:rPr>
              <w:t>网络安全技术支持服务</w:t>
            </w:r>
          </w:p>
        </w:tc>
        <w:tc>
          <w:tcPr>
            <w:tcW w:w="1084" w:type="dxa"/>
            <w:tcBorders>
              <w:top w:val="single" w:color="auto" w:sz="4" w:space="0"/>
              <w:left w:val="nil"/>
              <w:bottom w:val="single" w:color="auto" w:sz="4" w:space="0"/>
              <w:right w:val="single" w:color="auto" w:sz="4" w:space="0"/>
            </w:tcBorders>
            <w:vAlign w:val="center"/>
          </w:tcPr>
          <w:p w14:paraId="7BFEFFB4">
            <w:pPr>
              <w:wordWrap w:val="0"/>
              <w:spacing w:line="400" w:lineRule="exact"/>
              <w:ind w:firstLine="0" w:firstLineChars="0"/>
              <w:jc w:val="center"/>
              <w:rPr>
                <w:rFonts w:hint="eastAsia" w:ascii="宋体" w:hAnsi="宋体" w:eastAsia="宋体" w:cs="宋体"/>
                <w:color w:val="auto"/>
              </w:rPr>
            </w:pPr>
            <w:r>
              <w:rPr>
                <w:rFonts w:hint="eastAsia" w:ascii="宋体" w:hAnsi="宋体" w:eastAsia="宋体" w:cs="宋体"/>
                <w:color w:val="auto"/>
              </w:rPr>
              <w:t>免费</w:t>
            </w:r>
          </w:p>
        </w:tc>
        <w:tc>
          <w:tcPr>
            <w:tcW w:w="1181" w:type="dxa"/>
            <w:tcBorders>
              <w:top w:val="single" w:color="auto" w:sz="4" w:space="0"/>
              <w:left w:val="nil"/>
              <w:bottom w:val="single" w:color="auto" w:sz="4" w:space="0"/>
              <w:right w:val="single" w:color="auto" w:sz="4" w:space="0"/>
            </w:tcBorders>
            <w:vAlign w:val="center"/>
          </w:tcPr>
          <w:p w14:paraId="17CE3F44">
            <w:pPr>
              <w:wordWrap w:val="0"/>
              <w:spacing w:line="400" w:lineRule="exact"/>
              <w:ind w:firstLine="0" w:firstLineChars="0"/>
              <w:jc w:val="center"/>
              <w:rPr>
                <w:rFonts w:hint="eastAsia" w:ascii="宋体" w:hAnsi="宋体" w:eastAsia="宋体" w:cs="宋体"/>
                <w:color w:val="auto"/>
              </w:rPr>
            </w:pPr>
            <w:r>
              <w:rPr>
                <w:rFonts w:hint="eastAsia" w:ascii="宋体" w:hAnsi="宋体" w:eastAsia="宋体" w:cs="宋体"/>
                <w:color w:val="auto"/>
              </w:rPr>
              <w:t>1年</w:t>
            </w:r>
          </w:p>
        </w:tc>
        <w:tc>
          <w:tcPr>
            <w:tcW w:w="1741" w:type="dxa"/>
            <w:tcBorders>
              <w:top w:val="single" w:color="auto" w:sz="4" w:space="0"/>
              <w:left w:val="nil"/>
              <w:bottom w:val="single" w:color="auto" w:sz="4" w:space="0"/>
              <w:right w:val="single" w:color="auto" w:sz="4" w:space="0"/>
            </w:tcBorders>
            <w:vAlign w:val="top"/>
          </w:tcPr>
          <w:p w14:paraId="16FD2D59">
            <w:pPr>
              <w:wordWrap w:val="0"/>
              <w:spacing w:line="400" w:lineRule="exact"/>
              <w:ind w:firstLine="0" w:firstLineChars="0"/>
              <w:jc w:val="center"/>
              <w:rPr>
                <w:rFonts w:hint="eastAsia" w:ascii="宋体" w:hAnsi="宋体" w:eastAsia="宋体" w:cs="宋体"/>
                <w:color w:val="auto"/>
              </w:rPr>
            </w:pPr>
          </w:p>
        </w:tc>
      </w:tr>
      <w:tr w14:paraId="781EE1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3" w:hRule="atLeast"/>
          <w:jc w:val="center"/>
        </w:trPr>
        <w:tc>
          <w:tcPr>
            <w:tcW w:w="1985" w:type="dxa"/>
            <w:vMerge w:val="continue"/>
            <w:tcBorders>
              <w:left w:val="single" w:color="auto" w:sz="4" w:space="0"/>
              <w:bottom w:val="single" w:color="auto" w:sz="4" w:space="0"/>
              <w:right w:val="single" w:color="auto" w:sz="4" w:space="0"/>
            </w:tcBorders>
            <w:vAlign w:val="center"/>
          </w:tcPr>
          <w:p w14:paraId="205CD86A">
            <w:pPr>
              <w:wordWrap w:val="0"/>
              <w:spacing w:line="400" w:lineRule="exact"/>
              <w:ind w:firstLine="0" w:firstLineChars="0"/>
              <w:jc w:val="center"/>
              <w:rPr>
                <w:rFonts w:hint="eastAsia" w:ascii="宋体" w:hAnsi="宋体" w:eastAsia="宋体" w:cs="宋体"/>
                <w:color w:val="auto"/>
              </w:rPr>
            </w:pPr>
          </w:p>
        </w:tc>
        <w:tc>
          <w:tcPr>
            <w:tcW w:w="3027" w:type="dxa"/>
            <w:tcBorders>
              <w:top w:val="single" w:color="auto" w:sz="4" w:space="0"/>
              <w:left w:val="nil"/>
              <w:bottom w:val="single" w:color="auto" w:sz="4" w:space="0"/>
              <w:right w:val="single" w:color="auto" w:sz="4" w:space="0"/>
            </w:tcBorders>
            <w:vAlign w:val="center"/>
          </w:tcPr>
          <w:p w14:paraId="6B8B5C30">
            <w:pPr>
              <w:wordWrap w:val="0"/>
              <w:spacing w:line="400" w:lineRule="exact"/>
              <w:ind w:firstLine="0" w:firstLineChars="0"/>
              <w:jc w:val="center"/>
              <w:rPr>
                <w:rFonts w:hint="eastAsia" w:ascii="宋体" w:hAnsi="宋体" w:eastAsia="宋体" w:cs="宋体"/>
                <w:color w:val="auto"/>
              </w:rPr>
            </w:pPr>
            <w:r>
              <w:rPr>
                <w:rFonts w:hint="eastAsia" w:ascii="宋体" w:hAnsi="宋体" w:eastAsia="宋体" w:cs="宋体"/>
                <w:color w:val="auto"/>
              </w:rPr>
              <w:t>安全培训</w:t>
            </w:r>
          </w:p>
        </w:tc>
        <w:tc>
          <w:tcPr>
            <w:tcW w:w="1084" w:type="dxa"/>
            <w:tcBorders>
              <w:top w:val="single" w:color="auto" w:sz="4" w:space="0"/>
              <w:left w:val="nil"/>
              <w:bottom w:val="single" w:color="auto" w:sz="4" w:space="0"/>
              <w:right w:val="single" w:color="auto" w:sz="4" w:space="0"/>
            </w:tcBorders>
            <w:vAlign w:val="center"/>
          </w:tcPr>
          <w:p w14:paraId="34B076D8">
            <w:pPr>
              <w:wordWrap w:val="0"/>
              <w:spacing w:line="400" w:lineRule="exact"/>
              <w:ind w:firstLine="0" w:firstLineChars="0"/>
              <w:jc w:val="center"/>
              <w:rPr>
                <w:rFonts w:hint="eastAsia" w:ascii="宋体" w:hAnsi="宋体" w:eastAsia="宋体" w:cs="宋体"/>
                <w:color w:val="auto"/>
              </w:rPr>
            </w:pPr>
            <w:r>
              <w:rPr>
                <w:rFonts w:hint="eastAsia" w:ascii="宋体" w:hAnsi="宋体" w:eastAsia="宋体" w:cs="宋体"/>
                <w:color w:val="auto"/>
              </w:rPr>
              <w:t>免费</w:t>
            </w:r>
          </w:p>
        </w:tc>
        <w:tc>
          <w:tcPr>
            <w:tcW w:w="1181" w:type="dxa"/>
            <w:tcBorders>
              <w:top w:val="single" w:color="auto" w:sz="4" w:space="0"/>
              <w:left w:val="nil"/>
              <w:bottom w:val="single" w:color="auto" w:sz="4" w:space="0"/>
              <w:right w:val="single" w:color="auto" w:sz="4" w:space="0"/>
            </w:tcBorders>
            <w:vAlign w:val="center"/>
          </w:tcPr>
          <w:p w14:paraId="5B09D1FB">
            <w:pPr>
              <w:wordWrap w:val="0"/>
              <w:spacing w:line="400" w:lineRule="exact"/>
              <w:ind w:firstLine="0" w:firstLineChars="0"/>
              <w:jc w:val="center"/>
              <w:rPr>
                <w:rFonts w:hint="eastAsia" w:ascii="宋体" w:hAnsi="宋体" w:eastAsia="宋体" w:cs="宋体"/>
                <w:color w:val="auto"/>
              </w:rPr>
            </w:pPr>
            <w:r>
              <w:rPr>
                <w:rFonts w:hint="eastAsia" w:ascii="宋体" w:hAnsi="宋体" w:eastAsia="宋体" w:cs="宋体"/>
                <w:color w:val="auto"/>
              </w:rPr>
              <w:t>1次</w:t>
            </w:r>
          </w:p>
        </w:tc>
        <w:tc>
          <w:tcPr>
            <w:tcW w:w="1741" w:type="dxa"/>
            <w:tcBorders>
              <w:top w:val="single" w:color="auto" w:sz="4" w:space="0"/>
              <w:left w:val="nil"/>
              <w:bottom w:val="single" w:color="auto" w:sz="4" w:space="0"/>
              <w:right w:val="single" w:color="auto" w:sz="4" w:space="0"/>
            </w:tcBorders>
            <w:vAlign w:val="top"/>
          </w:tcPr>
          <w:p w14:paraId="2304D07D">
            <w:pPr>
              <w:wordWrap w:val="0"/>
              <w:spacing w:line="400" w:lineRule="exact"/>
              <w:ind w:firstLine="0" w:firstLineChars="0"/>
              <w:jc w:val="center"/>
              <w:rPr>
                <w:rFonts w:hint="eastAsia" w:ascii="宋体" w:hAnsi="宋体" w:eastAsia="宋体" w:cs="宋体"/>
                <w:color w:val="auto"/>
              </w:rPr>
            </w:pPr>
          </w:p>
        </w:tc>
      </w:tr>
      <w:tr w14:paraId="4DB26A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8" w:hRule="atLeast"/>
          <w:jc w:val="center"/>
        </w:trPr>
        <w:tc>
          <w:tcPr>
            <w:tcW w:w="1985" w:type="dxa"/>
            <w:vMerge w:val="continue"/>
            <w:tcBorders>
              <w:left w:val="single" w:color="auto" w:sz="4" w:space="0"/>
              <w:right w:val="single" w:color="auto" w:sz="4" w:space="0"/>
            </w:tcBorders>
            <w:vAlign w:val="center"/>
          </w:tcPr>
          <w:p w14:paraId="6CBCA23E">
            <w:pPr>
              <w:wordWrap w:val="0"/>
              <w:spacing w:line="400" w:lineRule="exact"/>
              <w:ind w:firstLine="0" w:firstLineChars="0"/>
              <w:jc w:val="center"/>
              <w:rPr>
                <w:rFonts w:hint="eastAsia" w:ascii="宋体" w:hAnsi="宋体" w:eastAsia="宋体" w:cs="宋体"/>
                <w:color w:val="auto"/>
              </w:rPr>
            </w:pPr>
          </w:p>
        </w:tc>
        <w:tc>
          <w:tcPr>
            <w:tcW w:w="3027" w:type="dxa"/>
            <w:tcBorders>
              <w:top w:val="single" w:color="auto" w:sz="4" w:space="0"/>
              <w:left w:val="nil"/>
              <w:bottom w:val="single" w:color="auto" w:sz="4" w:space="0"/>
              <w:right w:val="single" w:color="auto" w:sz="4" w:space="0"/>
            </w:tcBorders>
            <w:vAlign w:val="center"/>
          </w:tcPr>
          <w:p w14:paraId="60F3D0EC">
            <w:pPr>
              <w:wordWrap w:val="0"/>
              <w:spacing w:line="400" w:lineRule="exact"/>
              <w:ind w:firstLine="0" w:firstLineChars="0"/>
              <w:jc w:val="center"/>
              <w:rPr>
                <w:rFonts w:hint="eastAsia" w:ascii="宋体" w:hAnsi="宋体" w:eastAsia="宋体" w:cs="宋体"/>
                <w:color w:val="auto"/>
                <w:lang w:eastAsia="zh-CN"/>
              </w:rPr>
            </w:pPr>
            <w:r>
              <w:rPr>
                <w:rFonts w:hint="eastAsia" w:ascii="宋体" w:hAnsi="宋体" w:eastAsia="宋体" w:cs="宋体"/>
                <w:color w:val="auto"/>
              </w:rPr>
              <w:t>漏洞</w:t>
            </w:r>
            <w:r>
              <w:rPr>
                <w:rFonts w:hint="eastAsia" w:ascii="宋体" w:hAnsi="宋体" w:eastAsia="宋体" w:cs="宋体"/>
                <w:color w:val="auto"/>
                <w:lang w:val="en-US" w:eastAsia="zh-CN"/>
              </w:rPr>
              <w:t>扫描</w:t>
            </w:r>
          </w:p>
        </w:tc>
        <w:tc>
          <w:tcPr>
            <w:tcW w:w="1084" w:type="dxa"/>
            <w:tcBorders>
              <w:top w:val="single" w:color="auto" w:sz="4" w:space="0"/>
              <w:left w:val="nil"/>
              <w:bottom w:val="single" w:color="auto" w:sz="4" w:space="0"/>
              <w:right w:val="single" w:color="auto" w:sz="4" w:space="0"/>
            </w:tcBorders>
            <w:vAlign w:val="center"/>
          </w:tcPr>
          <w:p w14:paraId="2307D448">
            <w:pPr>
              <w:wordWrap w:val="0"/>
              <w:spacing w:line="400" w:lineRule="exact"/>
              <w:ind w:firstLine="0" w:firstLineChars="0"/>
              <w:jc w:val="center"/>
              <w:rPr>
                <w:rFonts w:hint="eastAsia" w:ascii="宋体" w:hAnsi="宋体" w:eastAsia="宋体" w:cs="宋体"/>
                <w:color w:val="auto"/>
                <w:lang w:val="en-US" w:eastAsia="zh-CN"/>
              </w:rPr>
            </w:pPr>
            <w:r>
              <w:rPr>
                <w:rFonts w:hint="eastAsia" w:ascii="宋体" w:hAnsi="宋体" w:eastAsia="宋体" w:cs="宋体"/>
                <w:color w:val="auto"/>
                <w:lang w:val="en-US" w:eastAsia="zh-CN"/>
              </w:rPr>
              <w:t>免费</w:t>
            </w:r>
          </w:p>
        </w:tc>
        <w:tc>
          <w:tcPr>
            <w:tcW w:w="1181" w:type="dxa"/>
            <w:tcBorders>
              <w:top w:val="single" w:color="auto" w:sz="4" w:space="0"/>
              <w:left w:val="nil"/>
              <w:bottom w:val="single" w:color="auto" w:sz="4" w:space="0"/>
              <w:right w:val="single" w:color="auto" w:sz="4" w:space="0"/>
            </w:tcBorders>
            <w:vAlign w:val="center"/>
          </w:tcPr>
          <w:p w14:paraId="1D96BCAA">
            <w:pPr>
              <w:tabs>
                <w:tab w:val="center" w:pos="482"/>
              </w:tabs>
              <w:wordWrap w:val="0"/>
              <w:spacing w:line="400" w:lineRule="exact"/>
              <w:jc w:val="center"/>
              <w:rPr>
                <w:rFonts w:hint="eastAsia" w:ascii="宋体" w:hAnsi="宋体" w:eastAsia="宋体" w:cs="宋体"/>
                <w:color w:val="auto"/>
              </w:rPr>
            </w:pPr>
            <w:r>
              <w:rPr>
                <w:rFonts w:hint="eastAsia" w:ascii="宋体" w:hAnsi="宋体" w:eastAsia="宋体" w:cs="宋体"/>
                <w:color w:val="auto"/>
                <w:lang w:val="en-US" w:eastAsia="zh-CN"/>
              </w:rPr>
              <w:t>2</w:t>
            </w:r>
            <w:r>
              <w:rPr>
                <w:rFonts w:hint="eastAsia" w:ascii="宋体" w:hAnsi="宋体" w:eastAsia="宋体" w:cs="宋体"/>
                <w:color w:val="auto"/>
              </w:rPr>
              <w:t>次</w:t>
            </w:r>
          </w:p>
        </w:tc>
        <w:tc>
          <w:tcPr>
            <w:tcW w:w="1741" w:type="dxa"/>
            <w:tcBorders>
              <w:top w:val="single" w:color="auto" w:sz="4" w:space="0"/>
              <w:left w:val="nil"/>
              <w:bottom w:val="single" w:color="auto" w:sz="4" w:space="0"/>
              <w:right w:val="single" w:color="auto" w:sz="4" w:space="0"/>
            </w:tcBorders>
            <w:vAlign w:val="top"/>
          </w:tcPr>
          <w:p w14:paraId="0E66043C">
            <w:pPr>
              <w:wordWrap w:val="0"/>
              <w:spacing w:line="400" w:lineRule="exact"/>
              <w:ind w:firstLine="210" w:firstLineChars="100"/>
              <w:rPr>
                <w:rFonts w:hint="eastAsia" w:ascii="宋体" w:hAnsi="宋体" w:eastAsia="宋体" w:cs="宋体"/>
                <w:color w:val="auto"/>
              </w:rPr>
            </w:pPr>
            <w:r>
              <w:rPr>
                <w:rFonts w:hint="eastAsia" w:ascii="宋体" w:hAnsi="宋体" w:eastAsia="宋体" w:cs="宋体"/>
                <w:color w:val="auto"/>
              </w:rPr>
              <w:t>每</w:t>
            </w:r>
            <w:r>
              <w:rPr>
                <w:rFonts w:hint="eastAsia" w:ascii="宋体" w:hAnsi="宋体" w:eastAsia="宋体" w:cs="宋体"/>
                <w:color w:val="auto"/>
                <w:lang w:val="en-US" w:eastAsia="zh-CN"/>
              </w:rPr>
              <w:t>半年</w:t>
            </w:r>
            <w:r>
              <w:rPr>
                <w:rFonts w:ascii="宋体" w:hAnsi="宋体" w:eastAsia="宋体" w:cs="宋体"/>
                <w:color w:val="auto"/>
              </w:rPr>
              <w:t>/</w:t>
            </w:r>
            <w:r>
              <w:rPr>
                <w:rFonts w:hint="eastAsia" w:ascii="宋体" w:hAnsi="宋体" w:eastAsia="宋体" w:cs="宋体"/>
                <w:color w:val="auto"/>
              </w:rPr>
              <w:t>年</w:t>
            </w:r>
          </w:p>
        </w:tc>
      </w:tr>
      <w:tr w14:paraId="7D73E7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8" w:hRule="atLeast"/>
          <w:jc w:val="center"/>
        </w:trPr>
        <w:tc>
          <w:tcPr>
            <w:tcW w:w="1985" w:type="dxa"/>
            <w:tcBorders>
              <w:left w:val="single" w:color="auto" w:sz="4" w:space="0"/>
              <w:bottom w:val="single" w:color="auto" w:sz="4" w:space="0"/>
              <w:right w:val="single" w:color="auto" w:sz="4" w:space="0"/>
            </w:tcBorders>
            <w:vAlign w:val="center"/>
          </w:tcPr>
          <w:p w14:paraId="2064F585">
            <w:pPr>
              <w:wordWrap w:val="0"/>
              <w:spacing w:line="400" w:lineRule="exact"/>
              <w:ind w:firstLine="0" w:firstLineChars="0"/>
              <w:jc w:val="center"/>
              <w:rPr>
                <w:rFonts w:hint="eastAsia" w:ascii="宋体" w:hAnsi="宋体" w:eastAsia="宋体" w:cs="宋体"/>
                <w:color w:val="auto"/>
                <w:lang w:val="en-US" w:eastAsia="zh-CN"/>
              </w:rPr>
            </w:pPr>
            <w:r>
              <w:rPr>
                <w:rFonts w:hint="eastAsia" w:ascii="宋体" w:hAnsi="宋体" w:eastAsia="宋体" w:cs="宋体"/>
                <w:color w:val="auto"/>
              </w:rPr>
              <w:t>商用密码应用安全性评估</w:t>
            </w:r>
            <w:r>
              <w:rPr>
                <w:rFonts w:hint="eastAsia" w:ascii="宋体" w:hAnsi="宋体" w:eastAsia="宋体" w:cs="宋体"/>
                <w:color w:val="auto"/>
                <w:lang w:val="en-US" w:eastAsia="zh-CN"/>
              </w:rPr>
              <w:t>项目</w:t>
            </w:r>
          </w:p>
        </w:tc>
        <w:tc>
          <w:tcPr>
            <w:tcW w:w="3027" w:type="dxa"/>
            <w:tcBorders>
              <w:top w:val="single" w:color="auto" w:sz="4" w:space="0"/>
              <w:left w:val="nil"/>
              <w:bottom w:val="single" w:color="auto" w:sz="4" w:space="0"/>
              <w:right w:val="single" w:color="auto" w:sz="4" w:space="0"/>
            </w:tcBorders>
            <w:vAlign w:val="center"/>
          </w:tcPr>
          <w:p w14:paraId="20EEED1A">
            <w:pPr>
              <w:wordWrap w:val="0"/>
              <w:spacing w:line="400" w:lineRule="exact"/>
              <w:ind w:firstLine="0" w:firstLineChars="0"/>
              <w:jc w:val="center"/>
              <w:rPr>
                <w:rFonts w:hint="default" w:ascii="宋体" w:hAnsi="宋体" w:eastAsia="宋体" w:cs="宋体"/>
                <w:color w:val="auto"/>
                <w:lang w:val="en-US" w:eastAsia="zh-CN"/>
              </w:rPr>
            </w:pPr>
            <w:r>
              <w:rPr>
                <w:rFonts w:hint="eastAsia" w:ascii="宋体" w:hAnsi="宋体" w:eastAsia="宋体" w:cs="宋体"/>
                <w:color w:val="auto"/>
              </w:rPr>
              <w:t>互联网医院</w:t>
            </w:r>
          </w:p>
        </w:tc>
        <w:tc>
          <w:tcPr>
            <w:tcW w:w="1084" w:type="dxa"/>
            <w:tcBorders>
              <w:top w:val="single" w:color="auto" w:sz="4" w:space="0"/>
              <w:left w:val="nil"/>
              <w:bottom w:val="single" w:color="auto" w:sz="4" w:space="0"/>
              <w:right w:val="single" w:color="auto" w:sz="4" w:space="0"/>
            </w:tcBorders>
            <w:vAlign w:val="center"/>
          </w:tcPr>
          <w:p w14:paraId="0D29D173">
            <w:pPr>
              <w:wordWrap w:val="0"/>
              <w:spacing w:line="400" w:lineRule="exact"/>
              <w:ind w:firstLine="0" w:firstLineChars="0"/>
              <w:jc w:val="center"/>
              <w:rPr>
                <w:rFonts w:hint="eastAsia" w:ascii="宋体" w:hAnsi="宋体" w:eastAsia="宋体" w:cs="宋体"/>
                <w:color w:val="auto"/>
                <w:lang w:val="en-US" w:eastAsia="zh-CN"/>
              </w:rPr>
            </w:pPr>
            <w:r>
              <w:rPr>
                <w:rFonts w:hint="eastAsia" w:ascii="宋体" w:hAnsi="宋体" w:eastAsia="宋体" w:cs="宋体"/>
                <w:color w:val="auto"/>
                <w:lang w:val="en-US" w:eastAsia="zh-CN"/>
              </w:rPr>
              <w:t>三级</w:t>
            </w:r>
          </w:p>
        </w:tc>
        <w:tc>
          <w:tcPr>
            <w:tcW w:w="1181" w:type="dxa"/>
            <w:tcBorders>
              <w:top w:val="single" w:color="auto" w:sz="4" w:space="0"/>
              <w:left w:val="nil"/>
              <w:bottom w:val="single" w:color="auto" w:sz="4" w:space="0"/>
              <w:right w:val="single" w:color="auto" w:sz="4" w:space="0"/>
            </w:tcBorders>
            <w:vAlign w:val="center"/>
          </w:tcPr>
          <w:p w14:paraId="70DB2FE0">
            <w:pPr>
              <w:wordWrap w:val="0"/>
              <w:spacing w:line="400" w:lineRule="exact"/>
              <w:jc w:val="center"/>
              <w:rPr>
                <w:rFonts w:hint="default" w:ascii="宋体" w:hAnsi="宋体" w:eastAsia="宋体" w:cs="宋体"/>
                <w:color w:val="auto"/>
                <w:lang w:val="en-US" w:eastAsia="zh-CN"/>
              </w:rPr>
            </w:pPr>
            <w:r>
              <w:rPr>
                <w:rFonts w:hint="eastAsia" w:ascii="宋体" w:hAnsi="宋体" w:eastAsia="宋体" w:cs="宋体"/>
                <w:color w:val="auto"/>
                <w:lang w:val="en-US" w:eastAsia="zh-CN"/>
              </w:rPr>
              <w:t>1个</w:t>
            </w:r>
          </w:p>
        </w:tc>
        <w:tc>
          <w:tcPr>
            <w:tcW w:w="1741" w:type="dxa"/>
            <w:tcBorders>
              <w:top w:val="single" w:color="auto" w:sz="4" w:space="0"/>
              <w:left w:val="nil"/>
              <w:bottom w:val="single" w:color="auto" w:sz="4" w:space="0"/>
              <w:right w:val="single" w:color="auto" w:sz="4" w:space="0"/>
            </w:tcBorders>
            <w:vAlign w:val="top"/>
          </w:tcPr>
          <w:p w14:paraId="14FC7200">
            <w:pPr>
              <w:wordWrap w:val="0"/>
              <w:spacing w:line="400" w:lineRule="exact"/>
              <w:ind w:firstLine="210" w:firstLineChars="100"/>
              <w:rPr>
                <w:rFonts w:hint="eastAsia" w:ascii="宋体" w:hAnsi="宋体" w:eastAsia="宋体" w:cs="宋体"/>
                <w:color w:val="auto"/>
              </w:rPr>
            </w:pPr>
          </w:p>
        </w:tc>
      </w:tr>
    </w:tbl>
    <w:p w14:paraId="12343F03">
      <w:pPr>
        <w:numPr>
          <w:ilvl w:val="0"/>
          <w:numId w:val="1"/>
        </w:numPr>
        <w:wordWrap w:val="0"/>
        <w:spacing w:line="400" w:lineRule="exact"/>
        <w:ind w:firstLine="0" w:firstLineChars="0"/>
        <w:rPr>
          <w:rFonts w:hint="eastAsia" w:ascii="宋体" w:hAnsi="宋体" w:eastAsia="宋体" w:cs="宋体"/>
          <w:b/>
          <w:bCs/>
        </w:rPr>
      </w:pPr>
      <w:r>
        <w:rPr>
          <w:rFonts w:hint="eastAsia" w:ascii="宋体" w:hAnsi="宋体" w:eastAsia="宋体" w:cs="宋体"/>
          <w:b/>
          <w:bCs/>
        </w:rPr>
        <w:t>项目要求</w:t>
      </w:r>
    </w:p>
    <w:p w14:paraId="7FED86BE">
      <w:pPr>
        <w:wordWrap w:val="0"/>
        <w:spacing w:line="400" w:lineRule="exact"/>
        <w:ind w:firstLine="480"/>
        <w:rPr>
          <w:rFonts w:hint="eastAsia" w:ascii="宋体" w:hAnsi="宋体" w:eastAsia="宋体" w:cs="宋体"/>
          <w:lang w:eastAsia="zh-CN"/>
        </w:rPr>
      </w:pPr>
      <w:r>
        <w:rPr>
          <w:rFonts w:hint="eastAsia" w:ascii="宋体" w:hAnsi="宋体" w:eastAsia="宋体" w:cs="宋体"/>
        </w:rPr>
        <w:t>1、</w:t>
      </w:r>
      <w:r>
        <w:rPr>
          <w:rFonts w:hint="eastAsia" w:ascii="宋体" w:hAnsi="宋体" w:eastAsia="宋体" w:cs="宋体"/>
          <w:color w:val="auto"/>
        </w:rPr>
        <w:t>供应商应具备公安部第三研究所颁发的《网络安全服务认证证书等级保护测评服务认证》和国家密码管理局颁发的商用密码检测机构资质证书（业务范围：商用密码应用安全性评估）（须提供</w:t>
      </w:r>
      <w:r>
        <w:rPr>
          <w:rFonts w:hint="eastAsia" w:ascii="宋体" w:hAnsi="宋体" w:eastAsia="宋体" w:cs="宋体"/>
          <w:color w:val="auto"/>
          <w:lang w:val="en-US" w:eastAsia="zh-CN"/>
        </w:rPr>
        <w:t>两个</w:t>
      </w:r>
      <w:r>
        <w:rPr>
          <w:rFonts w:hint="eastAsia" w:ascii="宋体" w:hAnsi="宋体" w:eastAsia="宋体" w:cs="宋体"/>
          <w:color w:val="auto"/>
        </w:rPr>
        <w:t>证书复印件</w:t>
      </w:r>
      <w:r>
        <w:rPr>
          <w:rFonts w:hint="eastAsia" w:ascii="宋体" w:hAnsi="宋体" w:eastAsia="宋体" w:cs="宋体"/>
          <w:color w:val="auto"/>
          <w:lang w:val="en-US" w:eastAsia="zh-CN"/>
        </w:rPr>
        <w:t>均</w:t>
      </w:r>
      <w:r>
        <w:rPr>
          <w:rFonts w:hint="eastAsia" w:ascii="宋体" w:hAnsi="宋体" w:eastAsia="宋体" w:cs="宋体"/>
          <w:color w:val="auto"/>
        </w:rPr>
        <w:t>加盖供应商公章）。</w:t>
      </w:r>
    </w:p>
    <w:p w14:paraId="450D93AF">
      <w:pPr>
        <w:wordWrap w:val="0"/>
        <w:spacing w:line="400" w:lineRule="exact"/>
        <w:ind w:firstLine="480"/>
        <w:rPr>
          <w:rFonts w:hint="eastAsia" w:ascii="宋体" w:hAnsi="宋体" w:eastAsia="宋体" w:cs="宋体"/>
          <w:lang w:eastAsia="zh-CN"/>
        </w:rPr>
      </w:pPr>
      <w:r>
        <w:rPr>
          <w:rFonts w:hint="eastAsia" w:ascii="宋体" w:hAnsi="宋体" w:eastAsia="宋体" w:cs="宋体"/>
          <w:lang w:val="en-US" w:eastAsia="zh-CN"/>
        </w:rPr>
        <w:t>2</w:t>
      </w:r>
      <w:r>
        <w:rPr>
          <w:rFonts w:hint="eastAsia" w:ascii="宋体" w:hAnsi="宋体" w:eastAsia="宋体" w:cs="宋体"/>
        </w:rPr>
        <w:t>、供应商需具有应急服务团队（团队成员必须为供应商单位正式员工并具备信息安全相关专业资质和测评师资质），当发生突发网络安全公共事件时，</w:t>
      </w:r>
      <w:r>
        <w:rPr>
          <w:rFonts w:hint="eastAsia" w:ascii="宋体" w:hAnsi="宋体" w:eastAsia="宋体" w:cs="宋体"/>
          <w:color w:val="auto"/>
        </w:rPr>
        <w:t>能在</w:t>
      </w:r>
      <w:r>
        <w:rPr>
          <w:rFonts w:hint="eastAsia" w:ascii="宋体" w:hAnsi="宋体" w:eastAsia="宋体" w:cs="宋体"/>
          <w:color w:val="auto"/>
          <w:lang w:val="en-US" w:eastAsia="zh-CN"/>
        </w:rPr>
        <w:t>12</w:t>
      </w:r>
      <w:r>
        <w:rPr>
          <w:rFonts w:hint="eastAsia" w:ascii="宋体" w:hAnsi="宋体" w:eastAsia="宋体" w:cs="宋体"/>
          <w:color w:val="auto"/>
        </w:rPr>
        <w:t>小时内派出技术团队到达现场协助处置突发事件。</w:t>
      </w:r>
    </w:p>
    <w:p w14:paraId="54C8D1CD">
      <w:pPr>
        <w:wordWrap w:val="0"/>
        <w:spacing w:line="400" w:lineRule="exact"/>
        <w:ind w:firstLine="480"/>
        <w:rPr>
          <w:rFonts w:hint="eastAsia" w:ascii="宋体" w:hAnsi="宋体" w:eastAsia="宋体" w:cs="宋体"/>
        </w:rPr>
      </w:pPr>
      <w:r>
        <w:rPr>
          <w:rFonts w:hint="eastAsia" w:ascii="宋体" w:hAnsi="宋体" w:eastAsia="宋体" w:cs="宋体"/>
          <w:lang w:val="en-US" w:eastAsia="zh-CN"/>
        </w:rPr>
        <w:t>3、</w:t>
      </w:r>
      <w:r>
        <w:rPr>
          <w:rFonts w:hint="eastAsia" w:ascii="宋体" w:hAnsi="宋体" w:eastAsia="宋体" w:cs="宋体"/>
        </w:rPr>
        <w:t>保密要求：为保障我单位利益，乙方不得在测评工作中获取非甲方提供的保密信息，乙方不得将甲方的保密信息透露给任何第三方，而应尽力避免由于疏忽将保密信息披露给任何第三方，参与项目测评人员需要签定保密协议。</w:t>
      </w:r>
    </w:p>
    <w:p w14:paraId="1724B177">
      <w:pPr>
        <w:wordWrap w:val="0"/>
        <w:spacing w:line="400" w:lineRule="exact"/>
        <w:ind w:firstLine="480"/>
        <w:rPr>
          <w:rFonts w:hint="eastAsia"/>
        </w:rPr>
      </w:pPr>
      <w:r>
        <w:rPr>
          <w:rFonts w:hint="eastAsia" w:ascii="宋体" w:hAnsi="宋体" w:eastAsia="宋体" w:cs="宋体"/>
          <w:lang w:val="en-US" w:eastAsia="zh-CN"/>
        </w:rPr>
        <w:t>4、</w:t>
      </w:r>
      <w:r>
        <w:rPr>
          <w:rFonts w:hint="eastAsia" w:ascii="宋体" w:hAnsi="宋体" w:eastAsia="宋体" w:cs="宋体"/>
        </w:rPr>
        <w:t>项目质量：</w:t>
      </w:r>
      <w:r>
        <w:rPr>
          <w:rFonts w:hint="eastAsia"/>
        </w:rPr>
        <w:t>测评指标和对象选择须符合《GB/T 28448-2019 信息安全技术 网络安全等级保护测评要求》标准的相关要求。测评中应严格按照《GB/T 28449-2018 信息安全技术 网络安全等级保护测评过程指南》标准的要求实施，加强质量监督和复查，确保测评工作质量。</w:t>
      </w:r>
    </w:p>
    <w:p w14:paraId="7352F538">
      <w:pPr>
        <w:wordWrap w:val="0"/>
        <w:spacing w:line="400" w:lineRule="exact"/>
        <w:ind w:firstLine="420" w:firstLineChars="200"/>
        <w:rPr>
          <w:rFonts w:hint="eastAsia"/>
        </w:rPr>
      </w:pPr>
      <w:r>
        <w:rPr>
          <w:rFonts w:hint="eastAsia" w:ascii="宋体" w:hAnsi="宋体" w:eastAsia="宋体" w:cs="宋体"/>
          <w:lang w:val="en-US" w:eastAsia="zh-CN"/>
        </w:rPr>
        <w:t>5、</w:t>
      </w:r>
      <w:r>
        <w:rPr>
          <w:rFonts w:hint="eastAsia" w:ascii="宋体" w:hAnsi="宋体" w:eastAsia="宋体" w:cs="宋体"/>
        </w:rPr>
        <w:t>实施要求：</w:t>
      </w:r>
      <w:r>
        <w:rPr>
          <w:rFonts w:hint="eastAsia"/>
        </w:rPr>
        <w:t>在项目实施过程中，投标方应做好计划与安排，确保项目实施不影响系统的正常运行。</w:t>
      </w:r>
    </w:p>
    <w:p w14:paraId="19750995">
      <w:pPr>
        <w:widowControl/>
        <w:spacing w:line="276" w:lineRule="auto"/>
        <w:ind w:firstLine="420" w:firstLineChars="200"/>
        <w:rPr>
          <w:rFonts w:hint="eastAsia" w:ascii="宋体" w:hAnsi="宋体" w:eastAsia="宋体" w:cs="宋体"/>
          <w:sz w:val="21"/>
          <w:szCs w:val="21"/>
        </w:rPr>
      </w:pPr>
      <w:r>
        <w:rPr>
          <w:rFonts w:hint="eastAsia" w:ascii="宋体" w:hAnsi="宋体" w:eastAsia="宋体" w:cs="宋体"/>
          <w:lang w:val="en-US" w:eastAsia="zh-CN"/>
        </w:rPr>
        <w:t>6、</w:t>
      </w:r>
      <w:r>
        <w:rPr>
          <w:rFonts w:hint="eastAsia" w:ascii="宋体" w:hAnsi="宋体" w:eastAsia="宋体" w:cs="宋体"/>
          <w:sz w:val="21"/>
          <w:szCs w:val="21"/>
        </w:rPr>
        <w:t>测评技术人员要求:供应商的岗位配置要至少配置技术负责人1人、质量负责人1人、测评工程师不低于2人;</w:t>
      </w:r>
    </w:p>
    <w:p w14:paraId="0D70F99D">
      <w:pPr>
        <w:widowControl/>
        <w:numPr>
          <w:ilvl w:val="0"/>
          <w:numId w:val="2"/>
        </w:numPr>
        <w:spacing w:line="276" w:lineRule="auto"/>
        <w:ind w:firstLine="420" w:firstLineChars="200"/>
        <w:rPr>
          <w:rFonts w:hint="eastAsia" w:ascii="宋体" w:hAnsi="宋体" w:eastAsia="宋体" w:cs="宋体"/>
          <w:sz w:val="21"/>
          <w:szCs w:val="21"/>
        </w:rPr>
      </w:pPr>
      <w:r>
        <w:rPr>
          <w:rFonts w:hint="eastAsia" w:ascii="宋体" w:hAnsi="宋体" w:eastAsia="宋体" w:cs="宋体"/>
          <w:sz w:val="21"/>
          <w:szCs w:val="21"/>
        </w:rPr>
        <w:t>拟派本项目的技术负责人具有公安部信息安全等级保护评估中心或中关村信息安全测评联盟或公安部关键信息基础设施保护中心颁发的《信息（或网络）安全等级测评师（</w:t>
      </w:r>
      <w:r>
        <w:rPr>
          <w:rFonts w:hint="eastAsia" w:ascii="宋体" w:hAnsi="宋体" w:eastAsia="宋体" w:cs="宋体"/>
          <w:sz w:val="21"/>
          <w:szCs w:val="21"/>
          <w:lang w:val="en-US" w:eastAsia="zh-CN"/>
        </w:rPr>
        <w:t>高级</w:t>
      </w:r>
      <w:r>
        <w:rPr>
          <w:rFonts w:hint="eastAsia" w:ascii="宋体" w:hAnsi="宋体" w:eastAsia="宋体" w:cs="宋体"/>
          <w:sz w:val="21"/>
          <w:szCs w:val="21"/>
        </w:rPr>
        <w:t>）》证书、中国信息安全测评中心颁发的CISP-CISA注册信息系统审计师、人力资源和社会保障部门评定颁发的《高级工程师职称证书（专业：</w:t>
      </w:r>
      <w:r>
        <w:rPr>
          <w:rFonts w:hint="eastAsia" w:ascii="宋体" w:hAnsi="宋体" w:eastAsia="宋体" w:cs="宋体"/>
          <w:sz w:val="21"/>
          <w:szCs w:val="21"/>
          <w:lang w:val="en-US" w:eastAsia="zh-CN"/>
        </w:rPr>
        <w:t>网络安全服务</w:t>
      </w:r>
      <w:r>
        <w:rPr>
          <w:rFonts w:hint="eastAsia" w:ascii="宋体" w:hAnsi="宋体" w:eastAsia="宋体" w:cs="宋体"/>
          <w:sz w:val="21"/>
          <w:szCs w:val="21"/>
        </w:rPr>
        <w:t>）》</w:t>
      </w:r>
      <w:r>
        <w:rPr>
          <w:rFonts w:hint="eastAsia" w:ascii="宋体" w:hAnsi="宋体" w:eastAsia="宋体" w:cs="宋体"/>
          <w:sz w:val="21"/>
          <w:szCs w:val="21"/>
          <w:lang w:eastAsia="zh-CN"/>
        </w:rPr>
        <w:t>；</w:t>
      </w:r>
    </w:p>
    <w:p w14:paraId="5DCDCD75">
      <w:pPr>
        <w:widowControl/>
        <w:numPr>
          <w:ilvl w:val="0"/>
          <w:numId w:val="2"/>
        </w:numPr>
        <w:spacing w:line="276" w:lineRule="auto"/>
        <w:ind w:firstLine="420" w:firstLineChars="200"/>
        <w:rPr>
          <w:rFonts w:hint="eastAsia" w:ascii="宋体" w:hAnsi="宋体" w:eastAsia="宋体" w:cs="宋体"/>
          <w:sz w:val="21"/>
          <w:szCs w:val="21"/>
        </w:rPr>
      </w:pPr>
      <w:r>
        <w:rPr>
          <w:rFonts w:hint="eastAsia" w:ascii="宋体" w:hAnsi="宋体" w:eastAsia="宋体" w:cs="宋体"/>
          <w:sz w:val="21"/>
          <w:szCs w:val="21"/>
        </w:rPr>
        <w:t>拟派本项目的质量负责人具有</w:t>
      </w:r>
      <w:r>
        <w:rPr>
          <w:rFonts w:hint="eastAsia" w:ascii="宋体" w:hAnsi="宋体" w:eastAsia="宋体" w:cs="宋体"/>
          <w:color w:val="auto"/>
          <w:sz w:val="21"/>
          <w:szCs w:val="21"/>
        </w:rPr>
        <w:t>公安部信息安全等级保护评估中心或中关村信息安全测评联盟或公安部关键信息基础设施保护中心</w:t>
      </w:r>
      <w:r>
        <w:rPr>
          <w:rFonts w:hint="eastAsia" w:ascii="宋体" w:hAnsi="宋体" w:eastAsia="宋体" w:cs="宋体"/>
          <w:sz w:val="21"/>
          <w:szCs w:val="21"/>
        </w:rPr>
        <w:t>颁发的《信息（或网络）安全等级测评师（中级及以上）》证书、人力资源和社会保障部门评定颁发的《高级工程师职称证书（专业：数据安全）》、中国网络安全审查技术与认证中心颁发的CCRC-数据安全官证书、</w:t>
      </w:r>
      <w:r>
        <w:rPr>
          <w:rFonts w:hint="eastAsia" w:ascii="宋体" w:hAnsi="宋体" w:eastAsia="宋体" w:cs="宋体"/>
          <w:sz w:val="21"/>
          <w:szCs w:val="21"/>
          <w:lang w:val="en-US" w:eastAsia="zh-CN"/>
        </w:rPr>
        <w:t>人力资源部和</w:t>
      </w:r>
      <w:r>
        <w:rPr>
          <w:rFonts w:hint="eastAsia" w:ascii="宋体" w:hAnsi="宋体" w:eastAsia="宋体" w:cs="宋体"/>
          <w:sz w:val="21"/>
          <w:szCs w:val="21"/>
        </w:rPr>
        <w:t>工信部颁发的《信息安全工程师》证书</w:t>
      </w:r>
      <w:r>
        <w:rPr>
          <w:rFonts w:hint="eastAsia" w:ascii="宋体" w:hAnsi="宋体" w:eastAsia="宋体" w:cs="宋体"/>
          <w:sz w:val="21"/>
          <w:szCs w:val="21"/>
          <w:lang w:eastAsia="zh-CN"/>
        </w:rPr>
        <w:t>。</w:t>
      </w:r>
    </w:p>
    <w:p w14:paraId="61499ADE">
      <w:pPr>
        <w:ind w:firstLine="480"/>
        <w:rPr>
          <w:rFonts w:hint="eastAsia" w:ascii="宋体" w:hAnsi="宋体" w:eastAsia="宋体" w:cs="宋体"/>
          <w:b/>
          <w:bCs/>
          <w:sz w:val="21"/>
          <w:szCs w:val="21"/>
        </w:rPr>
      </w:pPr>
      <w:r>
        <w:rPr>
          <w:rFonts w:hint="eastAsia" w:ascii="宋体" w:hAnsi="宋体" w:eastAsia="宋体" w:cs="宋体"/>
          <w:b/>
          <w:bCs/>
          <w:sz w:val="21"/>
          <w:szCs w:val="21"/>
        </w:rPr>
        <w:t>注:投标供应商提供</w:t>
      </w:r>
      <w:r>
        <w:rPr>
          <w:rFonts w:hint="eastAsia" w:ascii="宋体" w:hAnsi="宋体" w:eastAsia="宋体" w:cs="宋体"/>
          <w:b/>
          <w:bCs/>
          <w:sz w:val="21"/>
          <w:szCs w:val="21"/>
          <w:lang w:val="en-US" w:eastAsia="zh-CN"/>
        </w:rPr>
        <w:t>满足人员资质的</w:t>
      </w:r>
      <w:r>
        <w:rPr>
          <w:rFonts w:hint="eastAsia" w:ascii="宋体" w:hAnsi="宋体" w:eastAsia="宋体" w:cs="宋体"/>
          <w:b/>
          <w:bCs/>
          <w:sz w:val="21"/>
          <w:szCs w:val="21"/>
        </w:rPr>
        <w:t>承诺函</w:t>
      </w:r>
      <w:r>
        <w:rPr>
          <w:rFonts w:hint="eastAsia" w:ascii="宋体" w:hAnsi="宋体" w:eastAsia="宋体" w:cs="宋体"/>
          <w:b/>
          <w:bCs/>
          <w:sz w:val="21"/>
          <w:szCs w:val="21"/>
          <w:lang w:eastAsia="zh-CN"/>
        </w:rPr>
        <w:t>，</w:t>
      </w:r>
      <w:r>
        <w:rPr>
          <w:rFonts w:hint="eastAsia" w:ascii="宋体" w:hAnsi="宋体" w:eastAsia="宋体" w:cs="宋体"/>
          <w:b/>
          <w:bCs/>
          <w:sz w:val="21"/>
          <w:szCs w:val="21"/>
        </w:rPr>
        <w:t>以上人员资质采取资格后审，评审推荐成交候选人后，采购人将通知第一成交候选人在三个工作日内提供本项目要求的人员证书复印件、在职证明加盖公章。</w:t>
      </w:r>
    </w:p>
    <w:p w14:paraId="7C6C3F4F">
      <w:pPr>
        <w:ind w:firstLine="480"/>
        <w:rPr>
          <w:rFonts w:hint="eastAsia" w:ascii="宋体" w:hAnsi="宋体" w:eastAsia="宋体" w:cs="宋体"/>
          <w:b/>
          <w:bCs/>
          <w:sz w:val="21"/>
          <w:szCs w:val="21"/>
        </w:rPr>
      </w:pPr>
      <w:r>
        <w:rPr>
          <w:rFonts w:hint="eastAsia" w:ascii="宋体" w:hAnsi="宋体" w:eastAsia="宋体" w:cs="宋体"/>
          <w:b/>
          <w:bCs/>
          <w:sz w:val="21"/>
          <w:szCs w:val="21"/>
        </w:rPr>
        <w:t>第一成交候选人逾期未按要求提交以上材料、提交材料缺失/过期/不满足招标文件要求、存在弄虚作假导致不满足采购要求的，直接取消其成交候选人及拟成交资格，不予发出成交通知书；</w:t>
      </w:r>
    </w:p>
    <w:p w14:paraId="5512B26B">
      <w:pPr>
        <w:ind w:firstLine="480"/>
        <w:rPr>
          <w:rFonts w:hint="eastAsia" w:ascii="宋体" w:hAnsi="宋体" w:eastAsia="宋体" w:cs="宋体"/>
          <w:b/>
          <w:bCs/>
          <w:sz w:val="21"/>
          <w:szCs w:val="21"/>
        </w:rPr>
      </w:pPr>
      <w:r>
        <w:rPr>
          <w:rFonts w:hint="eastAsia" w:ascii="宋体" w:hAnsi="宋体" w:eastAsia="宋体" w:cs="宋体"/>
          <w:b/>
          <w:bCs/>
          <w:sz w:val="21"/>
          <w:szCs w:val="21"/>
        </w:rPr>
        <w:t>取消资格后，采购人可按评审排序依次对第二、第三成交候选人开展资格后置审查，或依法重新组织采购；</w:t>
      </w:r>
    </w:p>
    <w:p w14:paraId="636D0799">
      <w:pPr>
        <w:wordWrap w:val="0"/>
        <w:spacing w:line="400" w:lineRule="exact"/>
        <w:ind w:firstLine="480"/>
        <w:rPr>
          <w:rFonts w:hint="eastAsia" w:ascii="宋体" w:hAnsi="宋体" w:eastAsia="宋体" w:cs="宋体"/>
          <w:lang w:eastAsia="zh-CN"/>
        </w:rPr>
      </w:pPr>
      <w:r>
        <w:rPr>
          <w:rFonts w:hint="eastAsia" w:ascii="宋体" w:hAnsi="宋体" w:eastAsia="宋体" w:cs="宋体"/>
          <w:b/>
          <w:bCs/>
          <w:sz w:val="21"/>
          <w:szCs w:val="21"/>
        </w:rPr>
        <w:t>因材料不达标被取消成交资格的供应商，将被纳入失信名单处理，后续不得参加采购人发出的任何采购项目</w:t>
      </w:r>
      <w:r>
        <w:rPr>
          <w:rFonts w:hint="eastAsia" w:ascii="宋体" w:hAnsi="宋体" w:eastAsia="宋体" w:cs="宋体"/>
          <w:color w:val="auto"/>
          <w:sz w:val="21"/>
          <w:szCs w:val="21"/>
          <w:lang w:val="en-US" w:eastAsia="zh-CN"/>
        </w:rPr>
        <w:t>。</w:t>
      </w:r>
    </w:p>
    <w:p w14:paraId="2E6CDE4B">
      <w:pPr>
        <w:wordWrap w:val="0"/>
        <w:spacing w:line="400" w:lineRule="exact"/>
        <w:ind w:firstLine="480"/>
        <w:rPr>
          <w:rFonts w:hint="eastAsia" w:ascii="宋体" w:hAnsi="宋体" w:eastAsia="宋体" w:cs="宋体"/>
        </w:rPr>
      </w:pPr>
      <w:r>
        <w:rPr>
          <w:rFonts w:hint="eastAsia" w:ascii="宋体" w:hAnsi="宋体" w:eastAsia="宋体" w:cs="宋体"/>
          <w:lang w:val="en-US" w:eastAsia="zh-CN"/>
        </w:rPr>
        <w:t>7、</w:t>
      </w:r>
      <w:r>
        <w:rPr>
          <w:rFonts w:hint="eastAsia" w:ascii="宋体" w:hAnsi="宋体" w:eastAsia="宋体" w:cs="宋体"/>
        </w:rPr>
        <w:t>售后服务：投标方</w:t>
      </w:r>
      <w:r>
        <w:rPr>
          <w:rFonts w:hint="eastAsia"/>
        </w:rPr>
        <w:t>为采购人提供信息安全规划、方针、策略和管理制度体系咨询服务,配合对被检测系统网络安全策略，漏洞修复等安全加固提供技术支持服务</w:t>
      </w:r>
      <w:r>
        <w:rPr>
          <w:rFonts w:hint="eastAsia" w:ascii="宋体" w:hAnsi="宋体" w:eastAsia="宋体" w:cs="宋体"/>
        </w:rPr>
        <w:t>。</w:t>
      </w:r>
    </w:p>
    <w:p w14:paraId="1D6B3F38">
      <w:pPr>
        <w:wordWrap w:val="0"/>
        <w:spacing w:line="400" w:lineRule="exact"/>
        <w:ind w:firstLine="480"/>
        <w:rPr>
          <w:rFonts w:hint="eastAsia" w:ascii="宋体" w:hAnsi="宋体" w:eastAsia="宋体" w:cs="宋体"/>
        </w:rPr>
      </w:pPr>
      <w:r>
        <w:rPr>
          <w:rFonts w:hint="eastAsia" w:ascii="宋体" w:hAnsi="宋体" w:eastAsia="宋体" w:cs="宋体"/>
          <w:lang w:val="en-US" w:eastAsia="zh-CN"/>
        </w:rPr>
        <w:t>8、等保</w:t>
      </w:r>
      <w:r>
        <w:rPr>
          <w:rFonts w:hint="eastAsia" w:ascii="宋体" w:hAnsi="宋体" w:eastAsia="宋体" w:cs="宋体"/>
        </w:rPr>
        <w:t>测评技术要求：</w:t>
      </w:r>
    </w:p>
    <w:p w14:paraId="49495F64">
      <w:pPr>
        <w:wordWrap w:val="0"/>
        <w:spacing w:line="400" w:lineRule="exact"/>
        <w:ind w:firstLine="480"/>
        <w:rPr>
          <w:rFonts w:hint="eastAsia" w:ascii="宋体" w:hAnsi="宋体" w:eastAsia="宋体" w:cs="宋体"/>
        </w:rPr>
      </w:pPr>
      <w:r>
        <w:rPr>
          <w:rFonts w:hint="eastAsia" w:ascii="宋体" w:hAnsi="宋体" w:eastAsia="宋体" w:cs="宋体"/>
        </w:rPr>
        <w:t>本项目信息安全等级保护测评目的和测评内容，必须与公安部门发布的最新信息安全等级保护要求的基本安全控制要求相一致。本项目测评人员应依据测评目的和测评内容，选取、实施特定测评操作的方式方法。等级保护测评主要包括如下几个方面的内容：</w:t>
      </w:r>
    </w:p>
    <w:p w14:paraId="17CB666A">
      <w:pPr>
        <w:wordWrap w:val="0"/>
        <w:spacing w:line="400" w:lineRule="exact"/>
        <w:ind w:firstLine="480"/>
        <w:rPr>
          <w:rFonts w:hint="eastAsia" w:ascii="宋体" w:hAnsi="宋体" w:eastAsia="宋体" w:cs="宋体"/>
        </w:rPr>
      </w:pPr>
      <w:r>
        <w:rPr>
          <w:rFonts w:hint="eastAsia" w:ascii="宋体" w:hAnsi="宋体" w:eastAsia="宋体" w:cs="宋体"/>
        </w:rPr>
        <w:t>（1）技术测评：</w:t>
      </w:r>
    </w:p>
    <w:p w14:paraId="538C4E61">
      <w:pPr>
        <w:wordWrap w:val="0"/>
        <w:spacing w:line="400" w:lineRule="exact"/>
        <w:ind w:firstLine="480"/>
        <w:rPr>
          <w:rFonts w:hint="eastAsia" w:ascii="宋体" w:hAnsi="宋体" w:eastAsia="宋体" w:cs="宋体"/>
        </w:rPr>
      </w:pPr>
      <w:r>
        <w:rPr>
          <w:rFonts w:hint="eastAsia" w:ascii="宋体" w:hAnsi="宋体" w:eastAsia="宋体" w:cs="宋体"/>
        </w:rPr>
        <w:t>①物理安全测评（物理位置的选择、物理访问控制、防盗窃和防破坏、防雷击、防火、防水和防潮、防静电、温湿度控制、电力供应、电磁防护）；</w:t>
      </w:r>
    </w:p>
    <w:p w14:paraId="339A5B24">
      <w:pPr>
        <w:wordWrap w:val="0"/>
        <w:spacing w:line="400" w:lineRule="exact"/>
        <w:ind w:firstLine="480"/>
        <w:rPr>
          <w:rFonts w:hint="eastAsia" w:ascii="宋体" w:hAnsi="宋体" w:eastAsia="宋体" w:cs="宋体"/>
        </w:rPr>
      </w:pPr>
      <w:r>
        <w:rPr>
          <w:rFonts w:hint="eastAsia" w:ascii="宋体" w:hAnsi="宋体" w:eastAsia="宋体" w:cs="宋体"/>
        </w:rPr>
        <w:t>②网络安全测评（结构安全、访问控制、安全审计、边界完整性检测、入侵防范、网络设备防护）；</w:t>
      </w:r>
    </w:p>
    <w:p w14:paraId="5D96787F">
      <w:pPr>
        <w:wordWrap w:val="0"/>
        <w:spacing w:line="400" w:lineRule="exact"/>
        <w:ind w:firstLine="480"/>
        <w:rPr>
          <w:rFonts w:hint="eastAsia" w:ascii="宋体" w:hAnsi="宋体" w:eastAsia="宋体" w:cs="宋体"/>
        </w:rPr>
      </w:pPr>
      <w:r>
        <w:rPr>
          <w:rFonts w:hint="eastAsia" w:ascii="宋体" w:hAnsi="宋体" w:eastAsia="宋体" w:cs="宋体"/>
        </w:rPr>
        <w:t>③主机安全测评（身份鉴别、访问控制、安全审计、入侵防范、恶意代码防范、资源控制）；</w:t>
      </w:r>
    </w:p>
    <w:p w14:paraId="7CF843ED">
      <w:pPr>
        <w:wordWrap w:val="0"/>
        <w:spacing w:line="400" w:lineRule="exact"/>
        <w:ind w:firstLine="480"/>
        <w:rPr>
          <w:rFonts w:hint="eastAsia" w:ascii="宋体" w:hAnsi="宋体" w:eastAsia="宋体" w:cs="宋体"/>
        </w:rPr>
      </w:pPr>
      <w:r>
        <w:rPr>
          <w:rFonts w:hint="eastAsia" w:ascii="宋体" w:hAnsi="宋体" w:eastAsia="宋体" w:cs="宋体"/>
        </w:rPr>
        <w:t>④数据备份与恢复测评（数据完整性、数据保密性、备份和恢复）；</w:t>
      </w:r>
    </w:p>
    <w:p w14:paraId="176007E2">
      <w:pPr>
        <w:wordWrap w:val="0"/>
        <w:spacing w:line="400" w:lineRule="exact"/>
        <w:ind w:firstLine="480"/>
        <w:rPr>
          <w:rFonts w:hint="eastAsia" w:ascii="宋体" w:hAnsi="宋体" w:eastAsia="宋体" w:cs="宋体"/>
        </w:rPr>
      </w:pPr>
      <w:r>
        <w:rPr>
          <w:rFonts w:hint="eastAsia" w:ascii="宋体" w:hAnsi="宋体" w:eastAsia="宋体" w:cs="宋体"/>
        </w:rPr>
        <w:t>⑤应用安全测评（身份鉴别、访问控制、安全审计、通信完整性、通信保密性、抗抵赖、软件容错、资源控制）。</w:t>
      </w:r>
    </w:p>
    <w:p w14:paraId="0F5977C5">
      <w:pPr>
        <w:wordWrap w:val="0"/>
        <w:spacing w:line="400" w:lineRule="exact"/>
        <w:ind w:firstLine="480"/>
        <w:rPr>
          <w:rFonts w:hint="eastAsia" w:ascii="宋体" w:hAnsi="宋体" w:eastAsia="宋体" w:cs="宋体"/>
        </w:rPr>
      </w:pPr>
      <w:r>
        <w:rPr>
          <w:rFonts w:hint="eastAsia" w:ascii="宋体" w:hAnsi="宋体" w:eastAsia="宋体" w:cs="宋体"/>
        </w:rPr>
        <w:t>（2）管理测评：</w:t>
      </w:r>
    </w:p>
    <w:p w14:paraId="2F6F80F4">
      <w:pPr>
        <w:wordWrap w:val="0"/>
        <w:spacing w:line="400" w:lineRule="exact"/>
        <w:ind w:firstLine="480"/>
        <w:rPr>
          <w:rFonts w:hint="eastAsia" w:ascii="宋体" w:hAnsi="宋体" w:eastAsia="宋体" w:cs="宋体"/>
        </w:rPr>
      </w:pPr>
      <w:r>
        <w:rPr>
          <w:rFonts w:hint="eastAsia" w:ascii="宋体" w:hAnsi="宋体" w:eastAsia="宋体" w:cs="宋体"/>
        </w:rPr>
        <w:t>①安全管理制度测评（管理制度、制定和发布、评审和修订）；</w:t>
      </w:r>
    </w:p>
    <w:p w14:paraId="4BF6D9AE">
      <w:pPr>
        <w:wordWrap w:val="0"/>
        <w:spacing w:line="400" w:lineRule="exact"/>
        <w:ind w:firstLine="480"/>
        <w:rPr>
          <w:rFonts w:hint="eastAsia" w:ascii="宋体" w:hAnsi="宋体" w:eastAsia="宋体" w:cs="宋体"/>
        </w:rPr>
      </w:pPr>
      <w:r>
        <w:rPr>
          <w:rFonts w:hint="eastAsia" w:ascii="宋体" w:hAnsi="宋体" w:eastAsia="宋体" w:cs="宋体"/>
        </w:rPr>
        <w:t>②安全管理机构测评（岗位设置、人员配备、授权和审批、沟通和合作、审核和检查）；</w:t>
      </w:r>
    </w:p>
    <w:p w14:paraId="337F5E46">
      <w:pPr>
        <w:wordWrap w:val="0"/>
        <w:spacing w:line="400" w:lineRule="exact"/>
        <w:ind w:firstLine="480"/>
        <w:rPr>
          <w:rFonts w:hint="eastAsia" w:ascii="宋体" w:hAnsi="宋体" w:eastAsia="宋体" w:cs="宋体"/>
        </w:rPr>
      </w:pPr>
      <w:r>
        <w:rPr>
          <w:rFonts w:hint="eastAsia" w:ascii="宋体" w:hAnsi="宋体" w:eastAsia="宋体" w:cs="宋体"/>
        </w:rPr>
        <w:t>③人员安全管理测评（人员录用、人员离岗、人员考核、安全意识教育和培训、外部人员访问管理）；</w:t>
      </w:r>
    </w:p>
    <w:p w14:paraId="7763A876">
      <w:pPr>
        <w:wordWrap w:val="0"/>
        <w:spacing w:line="400" w:lineRule="exact"/>
        <w:ind w:firstLine="480"/>
        <w:rPr>
          <w:rFonts w:hint="eastAsia" w:ascii="宋体" w:hAnsi="宋体" w:eastAsia="宋体" w:cs="宋体"/>
        </w:rPr>
      </w:pPr>
      <w:r>
        <w:rPr>
          <w:rFonts w:hint="eastAsia" w:ascii="宋体" w:hAnsi="宋体" w:eastAsia="宋体" w:cs="宋体"/>
        </w:rPr>
        <w:t>④系统建设管理测评（系统定级、安全方案设计、产品采购和使用、自行软件开发、外包软件开发、工程实施、测试验收、系统交付、系统交付、安全服务商选择）；</w:t>
      </w:r>
    </w:p>
    <w:p w14:paraId="47DCBA94">
      <w:pPr>
        <w:wordWrap w:val="0"/>
        <w:spacing w:line="400" w:lineRule="exact"/>
        <w:ind w:firstLine="480"/>
        <w:rPr>
          <w:rFonts w:hint="eastAsia" w:ascii="宋体" w:hAnsi="宋体" w:eastAsia="宋体" w:cs="宋体"/>
        </w:rPr>
      </w:pPr>
      <w:r>
        <w:rPr>
          <w:rFonts w:hint="eastAsia" w:ascii="宋体" w:hAnsi="宋体" w:eastAsia="宋体" w:cs="宋体"/>
        </w:rPr>
        <w:t>⑤系统运维管理测评（环境管理、资产管理、介质管理、设备管理、网络安全管理、系统安全管理、恶意代码防范管理、密码管理、变更管理、备份与恢复管理、安全事件处置、应急预案管理）。</w:t>
      </w:r>
    </w:p>
    <w:p w14:paraId="482AC258">
      <w:pPr>
        <w:numPr>
          <w:ilvl w:val="0"/>
          <w:numId w:val="0"/>
        </w:numPr>
        <w:wordWrap w:val="0"/>
        <w:spacing w:line="400" w:lineRule="exact"/>
        <w:ind w:leftChars="200"/>
        <w:rPr>
          <w:rFonts w:hint="eastAsia" w:ascii="宋体" w:hAnsi="宋体" w:eastAsia="宋体" w:cs="宋体"/>
        </w:rPr>
      </w:pPr>
      <w:r>
        <w:rPr>
          <w:rFonts w:hint="eastAsia" w:ascii="宋体" w:hAnsi="宋体" w:eastAsia="宋体" w:cs="宋体"/>
          <w:lang w:val="en-US" w:eastAsia="zh-CN"/>
        </w:rPr>
        <w:t>9、</w:t>
      </w:r>
      <w:r>
        <w:rPr>
          <w:rFonts w:hint="eastAsia" w:ascii="宋体" w:hAnsi="宋体" w:eastAsia="宋体" w:cs="宋体"/>
        </w:rPr>
        <w:t>提供网络安全检测服务</w:t>
      </w:r>
      <w:r>
        <w:rPr>
          <w:rFonts w:hint="eastAsia" w:ascii="宋体" w:hAnsi="宋体" w:eastAsia="宋体" w:cs="宋体"/>
        </w:rPr>
        <w:br w:type="textWrapping"/>
      </w:r>
      <w:r>
        <w:rPr>
          <w:rFonts w:hint="eastAsia" w:ascii="宋体" w:hAnsi="宋体" w:eastAsia="宋体" w:cs="宋体"/>
        </w:rPr>
        <w:t>投标方向我单位提供漏洞扫描</w:t>
      </w:r>
      <w:r>
        <w:rPr>
          <w:rFonts w:hint="eastAsia" w:ascii="宋体" w:hAnsi="宋体" w:eastAsia="宋体" w:cs="宋体"/>
          <w:lang w:val="en-US" w:eastAsia="zh-CN"/>
        </w:rPr>
        <w:t>服务，</w:t>
      </w:r>
      <w:r>
        <w:rPr>
          <w:rFonts w:hint="eastAsia" w:ascii="宋体" w:hAnsi="宋体" w:eastAsia="宋体" w:cs="宋体"/>
        </w:rPr>
        <w:t xml:space="preserve">并根据脆弱性提供相应的软硬件整改建议。 </w:t>
      </w:r>
    </w:p>
    <w:p w14:paraId="75A98878">
      <w:pPr>
        <w:numPr>
          <w:ilvl w:val="0"/>
          <w:numId w:val="3"/>
        </w:numPr>
        <w:wordWrap w:val="0"/>
        <w:spacing w:line="400" w:lineRule="exact"/>
        <w:ind w:left="420" w:leftChars="200" w:firstLine="0" w:firstLineChars="0"/>
        <w:rPr>
          <w:rFonts w:hint="eastAsia" w:ascii="宋体" w:hAnsi="宋体" w:eastAsia="宋体" w:cs="宋体"/>
        </w:rPr>
      </w:pPr>
      <w:r>
        <w:rPr>
          <w:rFonts w:hint="eastAsia" w:ascii="宋体" w:hAnsi="宋体" w:eastAsia="宋体" w:cs="宋体"/>
          <w:color w:val="auto"/>
        </w:rPr>
        <w:t>商用密码应用安全性评估</w:t>
      </w:r>
      <w:r>
        <w:rPr>
          <w:rFonts w:hint="eastAsia" w:ascii="宋体" w:hAnsi="宋体" w:eastAsia="宋体" w:cs="宋体"/>
        </w:rPr>
        <w:t>技术要求</w:t>
      </w:r>
    </w:p>
    <w:p w14:paraId="6F0C0D56">
      <w:pPr>
        <w:wordWrap w:val="0"/>
        <w:spacing w:line="400" w:lineRule="exact"/>
        <w:ind w:firstLine="480"/>
        <w:rPr>
          <w:rFonts w:hint="eastAsia" w:ascii="宋体" w:hAnsi="宋体" w:eastAsia="宋体" w:cs="宋体"/>
          <w:lang w:val="en-US" w:eastAsia="zh-CN"/>
        </w:rPr>
      </w:pPr>
      <w:r>
        <w:rPr>
          <w:rFonts w:hint="eastAsia" w:ascii="宋体" w:hAnsi="宋体" w:eastAsia="宋体" w:cs="宋体"/>
          <w:lang w:val="en-US" w:eastAsia="zh-CN"/>
        </w:rPr>
        <w:t>（1）通用测评</w:t>
      </w:r>
    </w:p>
    <w:p w14:paraId="3C35CAA9">
      <w:pPr>
        <w:wordWrap w:val="0"/>
        <w:spacing w:line="400" w:lineRule="exact"/>
        <w:ind w:firstLine="480"/>
        <w:rPr>
          <w:rFonts w:hint="eastAsia" w:ascii="宋体" w:hAnsi="宋体" w:eastAsia="宋体" w:cs="宋体"/>
          <w:lang w:val="en-US" w:eastAsia="zh-CN"/>
        </w:rPr>
      </w:pPr>
      <w:r>
        <w:rPr>
          <w:rFonts w:hint="eastAsia" w:ascii="宋体" w:hAnsi="宋体" w:eastAsia="宋体" w:cs="宋体"/>
          <w:lang w:val="en-US" w:eastAsia="zh-CN"/>
        </w:rPr>
        <w:t>被测系统的密码算法是否符合法律、法规的规定和密码相关国家标准、行业标准 的有关要求；密码技术是否遵循密码相关国家标准和行业标准；密码产品、密码服务 是否符合法律法规的相关要求。</w:t>
      </w:r>
    </w:p>
    <w:p w14:paraId="383289CB">
      <w:pPr>
        <w:wordWrap w:val="0"/>
        <w:spacing w:line="400" w:lineRule="exact"/>
        <w:ind w:firstLine="480"/>
        <w:rPr>
          <w:rFonts w:hint="eastAsia" w:ascii="宋体" w:hAnsi="宋体" w:eastAsia="宋体" w:cs="宋体"/>
          <w:lang w:val="en-US" w:eastAsia="zh-CN"/>
        </w:rPr>
      </w:pPr>
      <w:r>
        <w:rPr>
          <w:rFonts w:hint="eastAsia" w:ascii="宋体" w:hAnsi="宋体" w:eastAsia="宋体" w:cs="宋体"/>
          <w:lang w:val="en-US" w:eastAsia="zh-CN"/>
        </w:rPr>
        <w:t>（2）技术测评</w:t>
      </w:r>
    </w:p>
    <w:p w14:paraId="7FC1B641">
      <w:pPr>
        <w:wordWrap w:val="0"/>
        <w:spacing w:line="400" w:lineRule="exact"/>
        <w:ind w:firstLine="480"/>
        <w:rPr>
          <w:rFonts w:hint="eastAsia" w:ascii="宋体" w:hAnsi="宋体" w:eastAsia="宋体" w:cs="宋体"/>
          <w:lang w:val="en-US" w:eastAsia="zh-CN"/>
        </w:rPr>
      </w:pPr>
      <w:r>
        <w:rPr>
          <w:rFonts w:hint="eastAsia" w:ascii="宋体" w:hAnsi="宋体" w:eastAsia="宋体" w:cs="宋体"/>
          <w:lang w:val="en-US" w:eastAsia="zh-CN"/>
        </w:rPr>
        <w:t>包括物理和环境安全测评、网络和通信安全测评、设备和计算安全测评、应用和 数据安全测评，验证不同安全等级的密码应用是否达到相应安全等级的安全保护能力， 所使用的密码是否正确、合规、有效，是否满足相应安全等级的保护要求。</w:t>
      </w:r>
    </w:p>
    <w:p w14:paraId="1B99CF66">
      <w:pPr>
        <w:wordWrap w:val="0"/>
        <w:spacing w:line="400" w:lineRule="exact"/>
        <w:ind w:firstLine="480"/>
        <w:rPr>
          <w:rFonts w:hint="eastAsia" w:ascii="宋体" w:hAnsi="宋体" w:eastAsia="宋体" w:cs="宋体"/>
          <w:lang w:val="en-US" w:eastAsia="zh-CN"/>
        </w:rPr>
      </w:pPr>
      <w:r>
        <w:rPr>
          <w:rFonts w:hint="eastAsia" w:ascii="宋体" w:hAnsi="宋体" w:eastAsia="宋体" w:cs="宋体"/>
          <w:lang w:val="en-US" w:eastAsia="zh-CN"/>
        </w:rPr>
        <w:t>①物理和环境安全测评</w:t>
      </w:r>
    </w:p>
    <w:p w14:paraId="23F52E0E">
      <w:pPr>
        <w:wordWrap w:val="0"/>
        <w:spacing w:line="400" w:lineRule="exact"/>
        <w:ind w:firstLine="480"/>
        <w:rPr>
          <w:rFonts w:hint="eastAsia" w:ascii="宋体" w:hAnsi="宋体" w:eastAsia="宋体" w:cs="宋体"/>
          <w:lang w:val="en-US" w:eastAsia="zh-CN"/>
        </w:rPr>
      </w:pPr>
      <w:r>
        <w:rPr>
          <w:rFonts w:hint="eastAsia" w:ascii="宋体" w:hAnsi="宋体" w:eastAsia="宋体" w:cs="宋体"/>
          <w:lang w:val="en-US" w:eastAsia="zh-CN"/>
        </w:rPr>
        <w:t>针对“身份鉴别”、“电子门禁记录数据存储完整性”、“视频监控记录数据存储完 整性”等物理和环境安全方面采取的密码保障措施进行各项测评，完成不同对象的测 评、单项测评、单元测评以及结果判定和量化评估。</w:t>
      </w:r>
    </w:p>
    <w:p w14:paraId="3DA1CFA9">
      <w:pPr>
        <w:wordWrap w:val="0"/>
        <w:spacing w:line="400" w:lineRule="exact"/>
        <w:ind w:firstLine="480"/>
        <w:rPr>
          <w:rFonts w:hint="eastAsia" w:ascii="宋体" w:hAnsi="宋体" w:eastAsia="宋体" w:cs="宋体"/>
          <w:lang w:val="en-US" w:eastAsia="zh-CN"/>
        </w:rPr>
      </w:pPr>
      <w:r>
        <w:rPr>
          <w:rFonts w:hint="eastAsia" w:ascii="宋体" w:hAnsi="宋体" w:eastAsia="宋体" w:cs="宋体"/>
          <w:lang w:val="en-US" w:eastAsia="zh-CN"/>
        </w:rPr>
        <w:t>②网络和通信安全测评</w:t>
      </w:r>
    </w:p>
    <w:p w14:paraId="059E64E9">
      <w:pPr>
        <w:wordWrap w:val="0"/>
        <w:spacing w:line="400" w:lineRule="exact"/>
        <w:ind w:firstLine="480"/>
        <w:rPr>
          <w:rFonts w:hint="eastAsia" w:ascii="宋体" w:hAnsi="宋体" w:eastAsia="宋体" w:cs="宋体"/>
          <w:lang w:val="en-US" w:eastAsia="zh-CN"/>
        </w:rPr>
      </w:pPr>
      <w:r>
        <w:rPr>
          <w:rFonts w:hint="eastAsia" w:ascii="宋体" w:hAnsi="宋体" w:eastAsia="宋体" w:cs="宋体"/>
          <w:lang w:val="en-US" w:eastAsia="zh-CN"/>
        </w:rPr>
        <w:t>对“身份鉴别”、“通信数据完整性”、“通信过程中重要数据的机密性”、“网络边 界访问控制信息的完整性”、“安全接入认证”等网络和通信安全方面采取的密码保障 措施进行各项测评，完成不同对象的测评、单项测评、单元测评以及结果判定和量化 评估。</w:t>
      </w:r>
    </w:p>
    <w:p w14:paraId="446B4E1E">
      <w:pPr>
        <w:wordWrap w:val="0"/>
        <w:spacing w:line="400" w:lineRule="exact"/>
        <w:ind w:firstLine="480"/>
        <w:rPr>
          <w:rFonts w:hint="eastAsia" w:ascii="宋体" w:hAnsi="宋体" w:eastAsia="宋体" w:cs="宋体"/>
          <w:lang w:val="en-US" w:eastAsia="zh-CN"/>
        </w:rPr>
      </w:pPr>
      <w:r>
        <w:rPr>
          <w:rFonts w:hint="eastAsia" w:ascii="宋体" w:hAnsi="宋体" w:eastAsia="宋体" w:cs="宋体"/>
          <w:lang w:val="en-US" w:eastAsia="zh-CN"/>
        </w:rPr>
        <w:t>③设备和计算安全测评</w:t>
      </w:r>
    </w:p>
    <w:p w14:paraId="017E356D">
      <w:pPr>
        <w:wordWrap w:val="0"/>
        <w:spacing w:line="400" w:lineRule="exact"/>
        <w:ind w:firstLine="480"/>
        <w:rPr>
          <w:rFonts w:hint="eastAsia" w:ascii="宋体" w:hAnsi="宋体" w:eastAsia="宋体" w:cs="宋体"/>
          <w:lang w:val="en-US" w:eastAsia="zh-CN"/>
        </w:rPr>
      </w:pPr>
      <w:r>
        <w:rPr>
          <w:rFonts w:hint="eastAsia" w:ascii="宋体" w:hAnsi="宋体" w:eastAsia="宋体" w:cs="宋体"/>
          <w:lang w:val="en-US" w:eastAsia="zh-CN"/>
        </w:rPr>
        <w:t>针对“身份鉴别”、“远程管理通道安全”、“系统资源访问控制信息完整性”、“重 要信息资源安全标记完整性”、“日志记录完整性”、“重要可执行程序完整性、重要可 执行程序来源真实性”等设备和计算安全方面采取的密码保障措施进行各项测评，完 成不同对象的测评、单项测评、单元测评以及结果判定和量化评估。</w:t>
      </w:r>
    </w:p>
    <w:p w14:paraId="61EDB543">
      <w:pPr>
        <w:wordWrap w:val="0"/>
        <w:spacing w:line="400" w:lineRule="exact"/>
        <w:ind w:firstLine="480"/>
        <w:rPr>
          <w:rFonts w:hint="eastAsia" w:ascii="宋体" w:hAnsi="宋体" w:eastAsia="宋体" w:cs="宋体"/>
          <w:lang w:val="en-US" w:eastAsia="zh-CN"/>
        </w:rPr>
      </w:pPr>
      <w:r>
        <w:rPr>
          <w:rFonts w:hint="eastAsia" w:ascii="宋体" w:hAnsi="宋体" w:eastAsia="宋体" w:cs="宋体"/>
          <w:lang w:val="en-US" w:eastAsia="zh-CN"/>
        </w:rPr>
        <w:t>④应用和数据安全测评</w:t>
      </w:r>
    </w:p>
    <w:p w14:paraId="6F26ED85">
      <w:pPr>
        <w:wordWrap w:val="0"/>
        <w:spacing w:line="400" w:lineRule="exact"/>
        <w:ind w:firstLine="480"/>
        <w:rPr>
          <w:rFonts w:hint="eastAsia" w:ascii="宋体" w:hAnsi="宋体" w:eastAsia="宋体" w:cs="宋体"/>
          <w:lang w:val="en-US" w:eastAsia="zh-CN"/>
        </w:rPr>
      </w:pPr>
      <w:r>
        <w:rPr>
          <w:rFonts w:hint="eastAsia" w:ascii="宋体" w:hAnsi="宋体" w:eastAsia="宋体" w:cs="宋体"/>
          <w:lang w:val="en-US" w:eastAsia="zh-CN"/>
        </w:rPr>
        <w:t>针对“身份鉴别”、“访问控制信息完整性”、“重要信息资源安全标记完整性”、“重 要数据传输机密性”、“重要数据存储机密性”、“重要数据传输完整性”、“重要数据存 储完整性”、“不可否认性”等应用和数据安全方面采取的密码保障措施进行各项测， 完成不同对象的测评、单项测评、单元测评以及结果判定和量化评估。</w:t>
      </w:r>
    </w:p>
    <w:p w14:paraId="2A7598DA">
      <w:pPr>
        <w:wordWrap w:val="0"/>
        <w:spacing w:line="400" w:lineRule="exact"/>
        <w:ind w:firstLine="480"/>
        <w:rPr>
          <w:rFonts w:hint="eastAsia" w:ascii="宋体" w:hAnsi="宋体" w:eastAsia="宋体" w:cs="宋体"/>
          <w:lang w:val="en-US" w:eastAsia="zh-CN"/>
        </w:rPr>
      </w:pPr>
      <w:r>
        <w:rPr>
          <w:rFonts w:hint="eastAsia" w:ascii="宋体" w:hAnsi="宋体" w:eastAsia="宋体" w:cs="宋体"/>
          <w:lang w:val="en-US" w:eastAsia="zh-CN"/>
        </w:rPr>
        <w:t>（3）密码应用安全管理测评</w:t>
      </w:r>
    </w:p>
    <w:p w14:paraId="46E35F13">
      <w:pPr>
        <w:wordWrap w:val="0"/>
        <w:spacing w:line="400" w:lineRule="exact"/>
        <w:ind w:firstLine="480"/>
        <w:rPr>
          <w:rFonts w:hint="eastAsia" w:ascii="宋体" w:hAnsi="宋体" w:eastAsia="宋体" w:cs="宋体"/>
          <w:lang w:val="en-US" w:eastAsia="zh-CN"/>
        </w:rPr>
      </w:pPr>
      <w:r>
        <w:rPr>
          <w:rFonts w:hint="eastAsia" w:ascii="宋体" w:hAnsi="宋体" w:eastAsia="宋体" w:cs="宋体"/>
          <w:lang w:val="en-US" w:eastAsia="zh-CN"/>
        </w:rPr>
        <w:t>从管理制度、人员管理、建设运行和应急处置四个方面进行安全管理测评，验证被评估对象安全管理机制是否完善，从管理结合技术的角度，确定是否能够确保密码技术被正确、合规、有效地实施。</w:t>
      </w:r>
    </w:p>
    <w:p w14:paraId="4C4EB4A3">
      <w:pPr>
        <w:wordWrap w:val="0"/>
        <w:spacing w:line="400" w:lineRule="exact"/>
        <w:ind w:firstLine="480"/>
        <w:rPr>
          <w:rFonts w:hint="eastAsia" w:ascii="宋体" w:hAnsi="宋体" w:eastAsia="宋体" w:cs="宋体"/>
          <w:lang w:val="en-US" w:eastAsia="zh-CN"/>
        </w:rPr>
      </w:pPr>
      <w:r>
        <w:rPr>
          <w:rFonts w:hint="eastAsia" w:ascii="宋体" w:hAnsi="宋体" w:eastAsia="宋体" w:cs="宋体"/>
          <w:lang w:val="en-US" w:eastAsia="zh-CN"/>
        </w:rPr>
        <w:t>①管理制度测评</w:t>
      </w:r>
    </w:p>
    <w:p w14:paraId="4356D0F0">
      <w:pPr>
        <w:wordWrap w:val="0"/>
        <w:spacing w:line="400" w:lineRule="exact"/>
        <w:ind w:firstLine="480"/>
        <w:rPr>
          <w:rFonts w:hint="eastAsia" w:ascii="宋体" w:hAnsi="宋体" w:eastAsia="宋体" w:cs="宋体"/>
          <w:lang w:val="en-US" w:eastAsia="zh-CN"/>
        </w:rPr>
      </w:pPr>
      <w:r>
        <w:rPr>
          <w:rFonts w:hint="eastAsia" w:ascii="宋体" w:hAnsi="宋体" w:eastAsia="宋体" w:cs="宋体"/>
          <w:lang w:val="en-US" w:eastAsia="zh-CN"/>
        </w:rPr>
        <w:t>包括：密码应用安全管理制度、密钥管理规则、管理操作规程、管理制度修订规范、管理制度发布流程、管理制度执行过程记录留存等内容。</w:t>
      </w:r>
    </w:p>
    <w:p w14:paraId="1A7A1F1B">
      <w:pPr>
        <w:wordWrap w:val="0"/>
        <w:spacing w:line="400" w:lineRule="exact"/>
        <w:ind w:firstLine="480"/>
        <w:rPr>
          <w:rFonts w:hint="eastAsia" w:ascii="宋体" w:hAnsi="宋体" w:eastAsia="宋体" w:cs="宋体"/>
          <w:lang w:val="en-US" w:eastAsia="zh-CN"/>
        </w:rPr>
      </w:pPr>
      <w:r>
        <w:rPr>
          <w:rFonts w:hint="eastAsia" w:ascii="宋体" w:hAnsi="宋体" w:eastAsia="宋体" w:cs="宋体"/>
          <w:lang w:val="en-US" w:eastAsia="zh-CN"/>
        </w:rPr>
        <w:t>②人员管理测评</w:t>
      </w:r>
    </w:p>
    <w:p w14:paraId="6053DCC9">
      <w:pPr>
        <w:wordWrap w:val="0"/>
        <w:spacing w:line="400" w:lineRule="exact"/>
        <w:ind w:firstLine="480"/>
        <w:rPr>
          <w:rFonts w:hint="eastAsia" w:ascii="宋体" w:hAnsi="宋体" w:eastAsia="宋体" w:cs="宋体"/>
          <w:lang w:val="en-US" w:eastAsia="zh-CN"/>
        </w:rPr>
      </w:pPr>
      <w:r>
        <w:rPr>
          <w:rFonts w:hint="eastAsia" w:ascii="宋体" w:hAnsi="宋体" w:eastAsia="宋体" w:cs="宋体"/>
          <w:lang w:val="en-US" w:eastAsia="zh-CN"/>
        </w:rPr>
        <w:t>包括：相应人员对密码相关法律法规和管理制度的了解和遵守执行情况、密码应用岗位责任制度的建立情况、上岗人员培训制度的建立情况、安全岗位人员考核的定期考核情况、关键岗位人员保密制度和调离制度建立情况等。</w:t>
      </w:r>
    </w:p>
    <w:p w14:paraId="30A34CD1">
      <w:pPr>
        <w:wordWrap w:val="0"/>
        <w:spacing w:line="400" w:lineRule="exact"/>
        <w:ind w:firstLine="480"/>
        <w:rPr>
          <w:rFonts w:hint="eastAsia" w:ascii="宋体" w:hAnsi="宋体" w:eastAsia="宋体" w:cs="宋体"/>
          <w:lang w:val="en-US" w:eastAsia="zh-CN"/>
        </w:rPr>
      </w:pPr>
      <w:r>
        <w:rPr>
          <w:rFonts w:hint="eastAsia" w:ascii="宋体" w:hAnsi="宋体" w:eastAsia="宋体" w:cs="宋体"/>
          <w:lang w:val="en-US" w:eastAsia="zh-CN"/>
        </w:rPr>
        <w:t>③建设运行测评</w:t>
      </w:r>
    </w:p>
    <w:p w14:paraId="6683D009">
      <w:pPr>
        <w:wordWrap w:val="0"/>
        <w:spacing w:line="400" w:lineRule="exact"/>
        <w:ind w:firstLine="480"/>
        <w:rPr>
          <w:rFonts w:hint="eastAsia" w:ascii="宋体" w:hAnsi="宋体" w:eastAsia="宋体" w:cs="宋体"/>
          <w:lang w:val="en-US" w:eastAsia="zh-CN"/>
        </w:rPr>
      </w:pPr>
      <w:r>
        <w:rPr>
          <w:rFonts w:hint="eastAsia" w:ascii="宋体" w:hAnsi="宋体" w:eastAsia="宋体" w:cs="宋体"/>
          <w:lang w:val="en-US" w:eastAsia="zh-CN"/>
        </w:rPr>
        <w:t>包括：密码应用方案制定情况、密钥安全管理策略制定情况、实施方案制定情况、在投入运行前是否开展商用密码应用安全性评估情况、定期开展商用密码应用安全性评估情况，以及定期开展攻防对抗演习情况。</w:t>
      </w:r>
    </w:p>
    <w:p w14:paraId="28A68C27">
      <w:pPr>
        <w:wordWrap w:val="0"/>
        <w:spacing w:line="400" w:lineRule="exact"/>
        <w:ind w:firstLine="480"/>
        <w:rPr>
          <w:rFonts w:hint="eastAsia" w:ascii="宋体" w:hAnsi="宋体" w:eastAsia="宋体" w:cs="宋体"/>
          <w:lang w:val="en-US" w:eastAsia="zh-CN"/>
        </w:rPr>
      </w:pPr>
      <w:r>
        <w:rPr>
          <w:rFonts w:hint="eastAsia" w:ascii="宋体" w:hAnsi="宋体" w:eastAsia="宋体" w:cs="宋体"/>
          <w:lang w:val="en-US" w:eastAsia="zh-CN"/>
        </w:rPr>
        <w:t>④应急处置测评</w:t>
      </w:r>
    </w:p>
    <w:p w14:paraId="26DA7D5F">
      <w:pPr>
        <w:wordWrap w:val="0"/>
        <w:spacing w:line="400" w:lineRule="exact"/>
        <w:ind w:firstLine="480"/>
        <w:rPr>
          <w:rFonts w:hint="eastAsia" w:ascii="宋体" w:hAnsi="宋体" w:eastAsia="宋体" w:cs="宋体"/>
        </w:rPr>
      </w:pPr>
      <w:r>
        <w:rPr>
          <w:rFonts w:hint="eastAsia" w:ascii="宋体" w:hAnsi="宋体" w:eastAsia="宋体" w:cs="宋体"/>
          <w:lang w:val="en-US" w:eastAsia="zh-CN"/>
        </w:rPr>
        <w:t>包括：应急策略制定情况、事件处置情况、向有关主管部门上报密码应用事件发生情况以及处置情况。</w:t>
      </w:r>
    </w:p>
    <w:p w14:paraId="1F72D4BB">
      <w:pPr>
        <w:wordWrap w:val="0"/>
        <w:spacing w:line="400" w:lineRule="exact"/>
        <w:ind w:firstLine="480"/>
        <w:rPr>
          <w:rFonts w:hint="default" w:ascii="宋体" w:hAnsi="宋体" w:eastAsia="宋体" w:cs="宋体"/>
          <w:lang w:val="en-US" w:eastAsia="zh-CN"/>
        </w:rPr>
      </w:pPr>
      <w:r>
        <w:rPr>
          <w:rFonts w:hint="eastAsia" w:ascii="宋体" w:hAnsi="宋体" w:eastAsia="宋体" w:cs="宋体"/>
          <w:lang w:eastAsia="zh-CN"/>
        </w:rPr>
        <w:t>（</w:t>
      </w:r>
      <w:r>
        <w:rPr>
          <w:rFonts w:hint="eastAsia" w:ascii="宋体" w:hAnsi="宋体" w:eastAsia="宋体" w:cs="宋体"/>
          <w:lang w:val="en-US" w:eastAsia="zh-CN"/>
        </w:rPr>
        <w:t>三</w:t>
      </w:r>
      <w:r>
        <w:rPr>
          <w:rFonts w:hint="eastAsia" w:ascii="宋体" w:hAnsi="宋体" w:eastAsia="宋体" w:cs="宋体"/>
          <w:lang w:eastAsia="zh-CN"/>
        </w:rPr>
        <w:t>）</w:t>
      </w:r>
      <w:r>
        <w:rPr>
          <w:rFonts w:hint="eastAsia" w:ascii="宋体" w:hAnsi="宋体" w:eastAsia="宋体" w:cs="宋体"/>
          <w:lang w:val="en-US" w:eastAsia="zh-CN"/>
        </w:rPr>
        <w:t>成交原则：最低价成交法。</w:t>
      </w:r>
      <w:r>
        <w:rPr>
          <w:rFonts w:hint="eastAsia" w:ascii="宋体" w:hAnsi="宋体" w:eastAsia="宋体" w:cs="宋体"/>
          <w:i w:val="0"/>
          <w:iCs w:val="0"/>
          <w:caps w:val="0"/>
          <w:color w:val="495060"/>
          <w:spacing w:val="0"/>
          <w:sz w:val="21"/>
          <w:szCs w:val="21"/>
          <w:shd w:val="clear" w:fill="FFFFFF"/>
        </w:rPr>
        <w:t>在符合项目要求的供应商</w:t>
      </w:r>
      <w:r>
        <w:rPr>
          <w:rFonts w:hint="eastAsia" w:ascii="宋体" w:hAnsi="宋体" w:eastAsia="宋体" w:cs="宋体"/>
          <w:lang w:val="en-US" w:eastAsia="zh-CN"/>
        </w:rPr>
        <w:t>数量不少于"3家"的前提下，按报价最低的原则推荐成交供应商。</w:t>
      </w:r>
    </w:p>
    <w:p w14:paraId="60AABB0F">
      <w:pPr>
        <w:pStyle w:val="4"/>
        <w:spacing w:before="48" w:after="48"/>
        <w:ind w:firstLine="181"/>
        <w:rPr>
          <w:rFonts w:hint="eastAsia" w:ascii="方正仿宋_GBK" w:eastAsia="方正仿宋_GBK"/>
        </w:rPr>
      </w:pPr>
    </w:p>
    <w:p w14:paraId="3D3BC8B5">
      <w:pPr>
        <w:rPr>
          <w:rFonts w:ascii="方正仿宋_GBK" w:hAnsi="方正仿宋_GBK" w:eastAsia="方正仿宋_GBK" w:cs="方正仿宋_GBK"/>
          <w:b/>
          <w:bCs/>
          <w:sz w:val="24"/>
          <w:szCs w:val="32"/>
          <w:u w:val="single"/>
        </w:rPr>
      </w:pPr>
    </w:p>
    <w:sectPr>
      <w:headerReference r:id="rId3" w:type="default"/>
      <w:footerReference r:id="rId4" w:type="default"/>
      <w:pgSz w:w="11906" w:h="16838"/>
      <w:pgMar w:top="1440" w:right="1080" w:bottom="1440" w:left="108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Arial Unicode MS">
    <w:altName w:val="宋体"/>
    <w:panose1 w:val="020B0604020202020204"/>
    <w:charset w:val="86"/>
    <w:family w:val="swiss"/>
    <w:pitch w:val="default"/>
    <w:sig w:usb0="00000000" w:usb1="00000000" w:usb2="0000003F" w:usb3="00000000" w:csb0="603F01FF" w:csb1="FFFF0000"/>
  </w:font>
  <w:font w:name="Verdana">
    <w:panose1 w:val="020B0604030504040204"/>
    <w:charset w:val="00"/>
    <w:family w:val="swiss"/>
    <w:pitch w:val="default"/>
    <w:sig w:usb0="A00006FF" w:usb1="4000205B" w:usb2="00000010" w:usb3="00000000" w:csb0="2000019F" w:csb1="00000000"/>
  </w:font>
  <w:font w:name="仿宋_GB2312">
    <w:panose1 w:val="02010609030101010101"/>
    <w:charset w:val="86"/>
    <w:family w:val="modern"/>
    <w:pitch w:val="default"/>
    <w:sig w:usb0="00000001" w:usb1="080E0000" w:usb2="00000000" w:usb3="00000000" w:csb0="00040000" w:csb1="00000000"/>
  </w:font>
  <w:font w:name="等线">
    <w:panose1 w:val="02010600030101010101"/>
    <w:charset w:val="86"/>
    <w:family w:val="auto"/>
    <w:pitch w:val="default"/>
    <w:sig w:usb0="A00002BF" w:usb1="38CF7CFA" w:usb2="00000016" w:usb3="00000000" w:csb0="0004000F" w:csb1="00000000"/>
  </w:font>
  <w:font w:name="方正小标宋_GBK">
    <w:altName w:val="微软雅黑"/>
    <w:panose1 w:val="03000509000000000000"/>
    <w:charset w:val="86"/>
    <w:family w:val="script"/>
    <w:pitch w:val="default"/>
    <w:sig w:usb0="00000000" w:usb1="00000000" w:usb2="00000000" w:usb3="00000000" w:csb0="00040000" w:csb1="00000000"/>
  </w:font>
  <w:font w:name="微软雅黑">
    <w:panose1 w:val="020B0503020204020204"/>
    <w:charset w:val="86"/>
    <w:family w:val="auto"/>
    <w:pitch w:val="default"/>
    <w:sig w:usb0="80000287" w:usb1="2ACF3C50" w:usb2="00000016" w:usb3="00000000" w:csb0="0004001F" w:csb1="00000000"/>
  </w:font>
  <w:font w:name="方正仿宋_GBK">
    <w:altName w:val="微软雅黑"/>
    <w:panose1 w:val="02000000000000000000"/>
    <w:charset w:val="86"/>
    <w:family w:val="script"/>
    <w:pitch w:val="default"/>
    <w:sig w:usb0="00000000" w:usb1="00000000" w:usb2="00082016" w:usb3="00000000" w:csb0="00040001" w:csb1="00000000"/>
  </w:font>
  <w:font w:name="KSOFD8A28030">
    <w:panose1 w:val="020B0503020204020204"/>
    <w:charset w:val="86"/>
    <w:family w:val="auto"/>
    <w:pitch w:val="default"/>
    <w:sig w:usb0="00000001" w:usb1="00000000" w:usb2="00000000" w:usb3="00000000" w:csb0="00040001" w:csb1="00000000"/>
  </w:font>
  <w:font w:name="Arial">
    <w:panose1 w:val="020B0604020202020204"/>
    <w:charset w:val="00"/>
    <w:family w:val="auto"/>
    <w:pitch w:val="default"/>
    <w:sig w:usb0="E0002EFF" w:usb1="C000785B" w:usb2="00000009" w:usb3="00000000" w:csb0="400001FF" w:csb1="FFFF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A749D02">
    <w:pPr>
      <w:pStyle w:val="7"/>
      <w:ind w:firstLine="422"/>
      <w:jc w:val="center"/>
      <w:rPr>
        <w:rFonts w:ascii="宋体" w:hAnsi="宋体"/>
        <w:szCs w:val="21"/>
      </w:rPr>
    </w:pPr>
    <w:r>
      <w:rPr>
        <w:rFonts w:ascii="宋体" w:hAnsi="宋体"/>
        <w:szCs w:val="21"/>
      </w:rPr>
      <w:fldChar w:fldCharType="begin"/>
    </w:r>
    <w:r>
      <w:rPr>
        <w:rStyle w:val="13"/>
        <w:rFonts w:ascii="宋体" w:hAnsi="宋体"/>
        <w:sz w:val="21"/>
        <w:szCs w:val="21"/>
      </w:rPr>
      <w:instrText xml:space="preserve"> PAGE </w:instrText>
    </w:r>
    <w:r>
      <w:rPr>
        <w:rFonts w:ascii="宋体" w:hAnsi="宋体"/>
        <w:szCs w:val="21"/>
      </w:rPr>
      <w:fldChar w:fldCharType="separate"/>
    </w:r>
    <w:r>
      <w:rPr>
        <w:rStyle w:val="13"/>
        <w:rFonts w:ascii="宋体" w:hAnsi="宋体"/>
        <w:sz w:val="21"/>
        <w:szCs w:val="21"/>
      </w:rPr>
      <w:t>3</w:t>
    </w:r>
    <w:r>
      <w:rPr>
        <w:rFonts w:ascii="宋体" w:hAnsi="宋体"/>
        <w:szCs w:val="21"/>
      </w:rPr>
      <w:fldChar w:fldCharType="end"/>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7EAFA11">
    <w:pPr>
      <w:pStyle w:val="8"/>
      <w:pBdr>
        <w:bottom w:val="none" w:color="auto" w:sz="0" w:space="0"/>
      </w:pBdr>
      <w:ind w:firstLine="640"/>
      <w:rPr>
        <w:u w:val="single"/>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C063213B"/>
    <w:multiLevelType w:val="singleLevel"/>
    <w:tmpl w:val="C063213B"/>
    <w:lvl w:ilvl="0" w:tentative="0">
      <w:start w:val="10"/>
      <w:numFmt w:val="decimal"/>
      <w:suff w:val="nothing"/>
      <w:lvlText w:val="%1、"/>
      <w:lvlJc w:val="left"/>
    </w:lvl>
  </w:abstractNum>
  <w:abstractNum w:abstractNumId="1">
    <w:nsid w:val="00000001"/>
    <w:multiLevelType w:val="singleLevel"/>
    <w:tmpl w:val="00000001"/>
    <w:lvl w:ilvl="0" w:tentative="0">
      <w:start w:val="1"/>
      <w:numFmt w:val="decimalEnclosedCircleChinese"/>
      <w:suff w:val="nothing"/>
      <w:lvlText w:val="%1　"/>
      <w:lvlJc w:val="left"/>
      <w:pPr>
        <w:ind w:left="0" w:firstLine="400"/>
      </w:pPr>
      <w:rPr>
        <w:rFonts w:hint="eastAsia"/>
      </w:rPr>
    </w:lvl>
  </w:abstractNum>
  <w:abstractNum w:abstractNumId="2">
    <w:nsid w:val="4220B14B"/>
    <w:multiLevelType w:val="singleLevel"/>
    <w:tmpl w:val="4220B14B"/>
    <w:lvl w:ilvl="0" w:tentative="0">
      <w:start w:val="2"/>
      <w:numFmt w:val="chineseCounting"/>
      <w:suff w:val="nothing"/>
      <w:lvlText w:val="（%1）"/>
      <w:lvlJc w:val="left"/>
      <w:rPr>
        <w:rFonts w:hint="eastAsia"/>
      </w:r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GRkN2ZiNzEyNzRhNzQ3YjE4NTU1YzBkMTE1OGM3OTkifQ=="/>
  </w:docVars>
  <w:rsids>
    <w:rsidRoot w:val="008F6FC6"/>
    <w:rsid w:val="00005218"/>
    <w:rsid w:val="00025C0F"/>
    <w:rsid w:val="00062E44"/>
    <w:rsid w:val="00086CA7"/>
    <w:rsid w:val="000C26CA"/>
    <w:rsid w:val="00156D07"/>
    <w:rsid w:val="0017568B"/>
    <w:rsid w:val="001D3B46"/>
    <w:rsid w:val="00206B8A"/>
    <w:rsid w:val="00236AA6"/>
    <w:rsid w:val="003545F5"/>
    <w:rsid w:val="003D3CD1"/>
    <w:rsid w:val="003D6595"/>
    <w:rsid w:val="004243AC"/>
    <w:rsid w:val="004504CA"/>
    <w:rsid w:val="00467A8E"/>
    <w:rsid w:val="00470687"/>
    <w:rsid w:val="00581B79"/>
    <w:rsid w:val="005E07A2"/>
    <w:rsid w:val="005F5F63"/>
    <w:rsid w:val="0065429A"/>
    <w:rsid w:val="007674E4"/>
    <w:rsid w:val="007B0D82"/>
    <w:rsid w:val="007B5C6B"/>
    <w:rsid w:val="008F6FC6"/>
    <w:rsid w:val="00907A4F"/>
    <w:rsid w:val="009400BC"/>
    <w:rsid w:val="00952C91"/>
    <w:rsid w:val="009B0452"/>
    <w:rsid w:val="00A247D6"/>
    <w:rsid w:val="00A30B52"/>
    <w:rsid w:val="00A34D0C"/>
    <w:rsid w:val="00A47B85"/>
    <w:rsid w:val="00A60716"/>
    <w:rsid w:val="00A65261"/>
    <w:rsid w:val="00AE6369"/>
    <w:rsid w:val="00B42E16"/>
    <w:rsid w:val="00B846BA"/>
    <w:rsid w:val="00B95D3C"/>
    <w:rsid w:val="00BA3F83"/>
    <w:rsid w:val="00BC1BDA"/>
    <w:rsid w:val="00BC1C9B"/>
    <w:rsid w:val="00C320DD"/>
    <w:rsid w:val="00CB4511"/>
    <w:rsid w:val="00D03AD4"/>
    <w:rsid w:val="00D1287D"/>
    <w:rsid w:val="00D94C0E"/>
    <w:rsid w:val="00DA5FA3"/>
    <w:rsid w:val="00DC57B9"/>
    <w:rsid w:val="00DE4B9E"/>
    <w:rsid w:val="00E948F2"/>
    <w:rsid w:val="00F73479"/>
    <w:rsid w:val="02A832EE"/>
    <w:rsid w:val="03506061"/>
    <w:rsid w:val="03A02C97"/>
    <w:rsid w:val="04342744"/>
    <w:rsid w:val="04840435"/>
    <w:rsid w:val="04B06557"/>
    <w:rsid w:val="04BD7D66"/>
    <w:rsid w:val="05253009"/>
    <w:rsid w:val="069E1253"/>
    <w:rsid w:val="091F0C88"/>
    <w:rsid w:val="0989240F"/>
    <w:rsid w:val="0AF10F70"/>
    <w:rsid w:val="0B8327FA"/>
    <w:rsid w:val="0BB21CA6"/>
    <w:rsid w:val="0BE8467D"/>
    <w:rsid w:val="0CDF65AE"/>
    <w:rsid w:val="0E095D01"/>
    <w:rsid w:val="0F610BD9"/>
    <w:rsid w:val="10144D8D"/>
    <w:rsid w:val="113855F0"/>
    <w:rsid w:val="1233018C"/>
    <w:rsid w:val="123C0258"/>
    <w:rsid w:val="139B74C4"/>
    <w:rsid w:val="149A59CD"/>
    <w:rsid w:val="15010FAF"/>
    <w:rsid w:val="152B36E2"/>
    <w:rsid w:val="15662C36"/>
    <w:rsid w:val="15EA1EF5"/>
    <w:rsid w:val="19335F0C"/>
    <w:rsid w:val="1BA76980"/>
    <w:rsid w:val="1BC577D4"/>
    <w:rsid w:val="1C9353D9"/>
    <w:rsid w:val="1CC64176"/>
    <w:rsid w:val="1E6B425E"/>
    <w:rsid w:val="1E796665"/>
    <w:rsid w:val="1E7C6A41"/>
    <w:rsid w:val="1FC67658"/>
    <w:rsid w:val="1FFF6A2D"/>
    <w:rsid w:val="2064408E"/>
    <w:rsid w:val="20AD52A8"/>
    <w:rsid w:val="22665141"/>
    <w:rsid w:val="230F6B34"/>
    <w:rsid w:val="23235E5A"/>
    <w:rsid w:val="24955B50"/>
    <w:rsid w:val="24B238D7"/>
    <w:rsid w:val="25EF7C1E"/>
    <w:rsid w:val="28803BA1"/>
    <w:rsid w:val="2A990C28"/>
    <w:rsid w:val="2C550DF7"/>
    <w:rsid w:val="2CC46EB7"/>
    <w:rsid w:val="2DAC5C8F"/>
    <w:rsid w:val="2DF4660A"/>
    <w:rsid w:val="2DFD2DF3"/>
    <w:rsid w:val="2E3A5789"/>
    <w:rsid w:val="2E5B5B4F"/>
    <w:rsid w:val="315B42C2"/>
    <w:rsid w:val="336E1191"/>
    <w:rsid w:val="346E7865"/>
    <w:rsid w:val="353D127E"/>
    <w:rsid w:val="35487054"/>
    <w:rsid w:val="35952E64"/>
    <w:rsid w:val="39CA7931"/>
    <w:rsid w:val="3AAA6AD8"/>
    <w:rsid w:val="3AB13ECA"/>
    <w:rsid w:val="3B1F5D8D"/>
    <w:rsid w:val="3B89767A"/>
    <w:rsid w:val="3C634773"/>
    <w:rsid w:val="3CA044A1"/>
    <w:rsid w:val="41FF17C3"/>
    <w:rsid w:val="47F42684"/>
    <w:rsid w:val="48123CAF"/>
    <w:rsid w:val="48FB2FFE"/>
    <w:rsid w:val="4A9F36BB"/>
    <w:rsid w:val="4BEA27BB"/>
    <w:rsid w:val="4C0A26E1"/>
    <w:rsid w:val="4C5379F9"/>
    <w:rsid w:val="4F7546AD"/>
    <w:rsid w:val="50255DE1"/>
    <w:rsid w:val="53905E93"/>
    <w:rsid w:val="54D36D95"/>
    <w:rsid w:val="57635080"/>
    <w:rsid w:val="582530CE"/>
    <w:rsid w:val="59F9696E"/>
    <w:rsid w:val="5B5A3AB5"/>
    <w:rsid w:val="5CFA7F00"/>
    <w:rsid w:val="5D287A14"/>
    <w:rsid w:val="5E6340F6"/>
    <w:rsid w:val="5F0D7D2F"/>
    <w:rsid w:val="61D07906"/>
    <w:rsid w:val="627E137C"/>
    <w:rsid w:val="62DB3A05"/>
    <w:rsid w:val="650A37AE"/>
    <w:rsid w:val="6544169E"/>
    <w:rsid w:val="67180D13"/>
    <w:rsid w:val="684A2515"/>
    <w:rsid w:val="691635D8"/>
    <w:rsid w:val="69681B8D"/>
    <w:rsid w:val="69D85B62"/>
    <w:rsid w:val="6A026B98"/>
    <w:rsid w:val="6A8130F3"/>
    <w:rsid w:val="6D364C65"/>
    <w:rsid w:val="6DD97850"/>
    <w:rsid w:val="6F495FC0"/>
    <w:rsid w:val="71FA47BC"/>
    <w:rsid w:val="72376BF2"/>
    <w:rsid w:val="732D4DF4"/>
    <w:rsid w:val="75842A9A"/>
    <w:rsid w:val="75BD3A57"/>
    <w:rsid w:val="78C0202A"/>
    <w:rsid w:val="795A69A1"/>
    <w:rsid w:val="7AD97622"/>
    <w:rsid w:val="7B5E6946"/>
    <w:rsid w:val="7C2020F9"/>
    <w:rsid w:val="7D2447F1"/>
    <w:rsid w:val="7D5A7770"/>
    <w:rsid w:val="7DF0153E"/>
  </w:rsids>
  <m:mathPr>
    <m:mathFont m:val="Cambria Math"/>
    <m:brkBin m:val="before"/>
    <m:brkBinSub m:val="--"/>
    <m:smallFrac m:val="1"/>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next w:val="1"/>
    <w:link w:val="21"/>
    <w:qFormat/>
    <w:uiPriority w:val="0"/>
    <w:pPr>
      <w:keepNext/>
      <w:keepLines/>
      <w:spacing w:beforeLines="50" w:afterLines="50" w:line="380" w:lineRule="exact"/>
      <w:jc w:val="center"/>
      <w:outlineLvl w:val="0"/>
    </w:pPr>
    <w:rPr>
      <w:rFonts w:ascii="Times New Roman" w:hAnsi="Times New Roman" w:eastAsia="黑体" w:cs="Times New Roman"/>
      <w:b/>
      <w:bCs/>
      <w:kern w:val="44"/>
      <w:sz w:val="32"/>
      <w:szCs w:val="44"/>
      <w:lang w:val="en-US" w:eastAsia="zh-CN" w:bidi="ar-SA"/>
    </w:rPr>
  </w:style>
  <w:style w:type="paragraph" w:styleId="3">
    <w:name w:val="heading 2"/>
    <w:next w:val="1"/>
    <w:link w:val="18"/>
    <w:qFormat/>
    <w:uiPriority w:val="0"/>
    <w:pPr>
      <w:keepNext/>
      <w:keepLines/>
      <w:adjustRightInd w:val="0"/>
      <w:snapToGrid w:val="0"/>
      <w:spacing w:beforeLines="20" w:afterLines="20" w:line="380" w:lineRule="exact"/>
      <w:ind w:firstLine="140" w:firstLineChars="140"/>
      <w:outlineLvl w:val="1"/>
    </w:pPr>
    <w:rPr>
      <w:rFonts w:ascii="宋体" w:hAnsi="宋体" w:eastAsia="黑体" w:cs="Times New Roman"/>
      <w:b/>
      <w:kern w:val="2"/>
      <w:sz w:val="30"/>
      <w:szCs w:val="24"/>
      <w:lang w:val="en-US" w:eastAsia="zh-CN" w:bidi="ar-SA"/>
    </w:rPr>
  </w:style>
  <w:style w:type="paragraph" w:styleId="4">
    <w:name w:val="heading 3"/>
    <w:basedOn w:val="1"/>
    <w:next w:val="1"/>
    <w:link w:val="25"/>
    <w:unhideWhenUsed/>
    <w:qFormat/>
    <w:uiPriority w:val="0"/>
    <w:pPr>
      <w:keepNext/>
      <w:keepLines/>
      <w:spacing w:before="260" w:after="260" w:line="416" w:lineRule="auto"/>
      <w:outlineLvl w:val="2"/>
    </w:pPr>
    <w:rPr>
      <w:b/>
      <w:bCs/>
      <w:sz w:val="32"/>
      <w:szCs w:val="32"/>
    </w:rPr>
  </w:style>
  <w:style w:type="character" w:default="1" w:styleId="12">
    <w:name w:val="Default Paragraph Font"/>
    <w:semiHidden/>
    <w:unhideWhenUsed/>
    <w:qFormat/>
    <w:uiPriority w:val="1"/>
  </w:style>
  <w:style w:type="table" w:default="1" w:styleId="10">
    <w:name w:val="Normal Table"/>
    <w:semiHidden/>
    <w:unhideWhenUsed/>
    <w:qFormat/>
    <w:uiPriority w:val="99"/>
    <w:tblPr>
      <w:tblCellMar>
        <w:top w:w="0" w:type="dxa"/>
        <w:left w:w="108" w:type="dxa"/>
        <w:bottom w:w="0" w:type="dxa"/>
        <w:right w:w="108" w:type="dxa"/>
      </w:tblCellMar>
    </w:tblPr>
  </w:style>
  <w:style w:type="paragraph" w:styleId="5">
    <w:name w:val="Plain Text"/>
    <w:basedOn w:val="1"/>
    <w:link w:val="23"/>
    <w:qFormat/>
    <w:uiPriority w:val="0"/>
    <w:rPr>
      <w:rFonts w:ascii="宋体" w:hAnsi="Courier New"/>
      <w:szCs w:val="21"/>
    </w:rPr>
  </w:style>
  <w:style w:type="paragraph" w:styleId="6">
    <w:name w:val="Balloon Text"/>
    <w:basedOn w:val="1"/>
    <w:link w:val="16"/>
    <w:qFormat/>
    <w:uiPriority w:val="0"/>
    <w:rPr>
      <w:sz w:val="18"/>
      <w:szCs w:val="18"/>
    </w:rPr>
  </w:style>
  <w:style w:type="paragraph" w:styleId="7">
    <w:name w:val="footer"/>
    <w:basedOn w:val="1"/>
    <w:link w:val="15"/>
    <w:qFormat/>
    <w:uiPriority w:val="0"/>
    <w:pPr>
      <w:tabs>
        <w:tab w:val="center" w:pos="4153"/>
        <w:tab w:val="right" w:pos="8306"/>
      </w:tabs>
      <w:snapToGrid w:val="0"/>
      <w:jc w:val="left"/>
    </w:pPr>
    <w:rPr>
      <w:sz w:val="18"/>
      <w:szCs w:val="18"/>
    </w:rPr>
  </w:style>
  <w:style w:type="paragraph" w:styleId="8">
    <w:name w:val="header"/>
    <w:basedOn w:val="1"/>
    <w:link w:val="14"/>
    <w:qFormat/>
    <w:uiPriority w:val="0"/>
    <w:pPr>
      <w:pBdr>
        <w:bottom w:val="single" w:color="auto" w:sz="6" w:space="1"/>
      </w:pBdr>
      <w:tabs>
        <w:tab w:val="center" w:pos="4153"/>
        <w:tab w:val="right" w:pos="8306"/>
      </w:tabs>
      <w:snapToGrid w:val="0"/>
      <w:jc w:val="center"/>
    </w:pPr>
    <w:rPr>
      <w:sz w:val="18"/>
      <w:szCs w:val="18"/>
    </w:rPr>
  </w:style>
  <w:style w:type="paragraph" w:styleId="9">
    <w:name w:val="Normal (Web)"/>
    <w:basedOn w:val="1"/>
    <w:qFormat/>
    <w:uiPriority w:val="0"/>
    <w:pPr>
      <w:widowControl/>
      <w:spacing w:before="100" w:beforeAutospacing="1" w:after="100" w:afterAutospacing="1" w:line="320" w:lineRule="exact"/>
      <w:ind w:firstLine="200" w:firstLineChars="200"/>
      <w:jc w:val="left"/>
    </w:pPr>
    <w:rPr>
      <w:rFonts w:ascii="Arial Unicode MS" w:hAnsi="Arial Unicode MS" w:eastAsia="Arial Unicode MS" w:cs="Times New Roman"/>
      <w:kern w:val="0"/>
      <w:sz w:val="24"/>
    </w:rPr>
  </w:style>
  <w:style w:type="table" w:styleId="11">
    <w:name w:val="Table Grid"/>
    <w:basedOn w:val="10"/>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3">
    <w:name w:val="page number"/>
    <w:basedOn w:val="12"/>
    <w:qFormat/>
    <w:uiPriority w:val="0"/>
    <w:rPr>
      <w:rFonts w:ascii="Verdana" w:hAnsi="Verdana" w:eastAsia="仿宋_GB2312"/>
      <w:sz w:val="24"/>
      <w:lang w:val="en-US" w:eastAsia="en-US" w:bidi="ar-SA"/>
    </w:rPr>
  </w:style>
  <w:style w:type="character" w:customStyle="1" w:styleId="14">
    <w:name w:val="页眉 Char"/>
    <w:basedOn w:val="12"/>
    <w:link w:val="8"/>
    <w:qFormat/>
    <w:uiPriority w:val="0"/>
    <w:rPr>
      <w:rFonts w:asciiTheme="minorHAnsi" w:hAnsiTheme="minorHAnsi" w:eastAsiaTheme="minorEastAsia" w:cstheme="minorBidi"/>
      <w:kern w:val="2"/>
      <w:sz w:val="18"/>
      <w:szCs w:val="18"/>
    </w:rPr>
  </w:style>
  <w:style w:type="character" w:customStyle="1" w:styleId="15">
    <w:name w:val="页脚 Char"/>
    <w:basedOn w:val="12"/>
    <w:link w:val="7"/>
    <w:qFormat/>
    <w:uiPriority w:val="0"/>
    <w:rPr>
      <w:rFonts w:asciiTheme="minorHAnsi" w:hAnsiTheme="minorHAnsi" w:eastAsiaTheme="minorEastAsia" w:cstheme="minorBidi"/>
      <w:kern w:val="2"/>
      <w:sz w:val="18"/>
      <w:szCs w:val="18"/>
    </w:rPr>
  </w:style>
  <w:style w:type="character" w:customStyle="1" w:styleId="16">
    <w:name w:val="批注框文本 Char"/>
    <w:basedOn w:val="12"/>
    <w:link w:val="6"/>
    <w:qFormat/>
    <w:uiPriority w:val="0"/>
    <w:rPr>
      <w:rFonts w:asciiTheme="minorHAnsi" w:hAnsiTheme="minorHAnsi" w:eastAsiaTheme="minorEastAsia" w:cstheme="minorBidi"/>
      <w:kern w:val="2"/>
      <w:sz w:val="18"/>
      <w:szCs w:val="18"/>
    </w:rPr>
  </w:style>
  <w:style w:type="character" w:customStyle="1" w:styleId="17">
    <w:name w:val="标题 1 Char"/>
    <w:basedOn w:val="12"/>
    <w:qFormat/>
    <w:uiPriority w:val="0"/>
    <w:rPr>
      <w:rFonts w:asciiTheme="minorHAnsi" w:hAnsiTheme="minorHAnsi" w:eastAsiaTheme="minorEastAsia" w:cstheme="minorBidi"/>
      <w:b/>
      <w:bCs/>
      <w:kern w:val="44"/>
      <w:sz w:val="44"/>
      <w:szCs w:val="44"/>
    </w:rPr>
  </w:style>
  <w:style w:type="character" w:customStyle="1" w:styleId="18">
    <w:name w:val="标题 2 Char"/>
    <w:basedOn w:val="12"/>
    <w:link w:val="3"/>
    <w:qFormat/>
    <w:uiPriority w:val="0"/>
    <w:rPr>
      <w:rFonts w:ascii="宋体" w:hAnsi="宋体" w:eastAsia="黑体"/>
      <w:b/>
      <w:kern w:val="2"/>
      <w:sz w:val="30"/>
      <w:szCs w:val="24"/>
    </w:rPr>
  </w:style>
  <w:style w:type="character" w:customStyle="1" w:styleId="19">
    <w:name w:val="页眉 Char1"/>
    <w:semiHidden/>
    <w:qFormat/>
    <w:uiPriority w:val="0"/>
    <w:rPr>
      <w:rFonts w:ascii="仿宋_GB2312" w:eastAsia="仿宋_GB2312"/>
      <w:kern w:val="2"/>
      <w:sz w:val="32"/>
      <w:lang w:bidi="ar-SA"/>
    </w:rPr>
  </w:style>
  <w:style w:type="character" w:customStyle="1" w:styleId="20">
    <w:name w:val="页脚 Char1"/>
    <w:semiHidden/>
    <w:qFormat/>
    <w:uiPriority w:val="0"/>
    <w:rPr>
      <w:rFonts w:eastAsia="宋体"/>
      <w:b/>
      <w:kern w:val="2"/>
      <w:sz w:val="21"/>
      <w:lang w:val="en-US" w:eastAsia="zh-CN" w:bidi="ar-SA"/>
    </w:rPr>
  </w:style>
  <w:style w:type="character" w:customStyle="1" w:styleId="21">
    <w:name w:val="标题 1 Char1"/>
    <w:link w:val="2"/>
    <w:qFormat/>
    <w:uiPriority w:val="0"/>
    <w:rPr>
      <w:rFonts w:eastAsia="黑体"/>
      <w:b/>
      <w:bCs/>
      <w:kern w:val="44"/>
      <w:sz w:val="32"/>
      <w:szCs w:val="44"/>
    </w:rPr>
  </w:style>
  <w:style w:type="paragraph" w:customStyle="1" w:styleId="22">
    <w:name w:val="表中字小于正文（居中）"/>
    <w:basedOn w:val="1"/>
    <w:semiHidden/>
    <w:qFormat/>
    <w:uiPriority w:val="0"/>
    <w:pPr>
      <w:widowControl/>
      <w:spacing w:line="280" w:lineRule="exact"/>
      <w:jc w:val="center"/>
    </w:pPr>
    <w:rPr>
      <w:rFonts w:ascii="黑体" w:hAnsi="宋体" w:eastAsia="仿宋_GB2312" w:cs="宋体"/>
      <w:szCs w:val="21"/>
    </w:rPr>
  </w:style>
  <w:style w:type="character" w:customStyle="1" w:styleId="23">
    <w:name w:val="纯文本 Char"/>
    <w:basedOn w:val="12"/>
    <w:link w:val="5"/>
    <w:qFormat/>
    <w:uiPriority w:val="0"/>
    <w:rPr>
      <w:rFonts w:ascii="宋体" w:hAnsi="Courier New" w:eastAsiaTheme="minorEastAsia" w:cstheme="minorBidi"/>
      <w:kern w:val="2"/>
      <w:sz w:val="21"/>
      <w:szCs w:val="21"/>
    </w:rPr>
  </w:style>
  <w:style w:type="character" w:customStyle="1" w:styleId="24">
    <w:name w:val="font21"/>
    <w:basedOn w:val="12"/>
    <w:qFormat/>
    <w:uiPriority w:val="0"/>
    <w:rPr>
      <w:rFonts w:hint="eastAsia" w:ascii="等线" w:hAnsi="等线" w:eastAsia="等线" w:cs="等线"/>
      <w:color w:val="000000"/>
      <w:sz w:val="22"/>
      <w:szCs w:val="22"/>
      <w:u w:val="none"/>
    </w:rPr>
  </w:style>
  <w:style w:type="character" w:customStyle="1" w:styleId="25">
    <w:name w:val="标题 3 Char"/>
    <w:basedOn w:val="12"/>
    <w:link w:val="4"/>
    <w:qFormat/>
    <w:uiPriority w:val="0"/>
    <w:rPr>
      <w:rFonts w:asciiTheme="minorHAnsi" w:hAnsiTheme="minorHAnsi" w:eastAsiaTheme="minorEastAsia" w:cstheme="minorBidi"/>
      <w:b/>
      <w:bCs/>
      <w:kern w:val="2"/>
      <w:sz w:val="32"/>
      <w:szCs w:val="32"/>
    </w:rPr>
  </w:style>
  <w:style w:type="paragraph" w:customStyle="1" w:styleId="26">
    <w:name w:val="null3"/>
    <w:hidden/>
    <w:qFormat/>
    <w:uiPriority w:val="0"/>
    <w:rPr>
      <w:rFonts w:hint="eastAsia" w:asciiTheme="minorHAnsi" w:hAnsiTheme="minorHAnsi" w:eastAsiaTheme="minorEastAsia" w:cstheme="minorBidi"/>
      <w:kern w:val="0"/>
      <w:sz w:val="20"/>
      <w:szCs w:val="20"/>
      <w:lang w:val="en-US" w:eastAsia="zh-Hans" w:bidi="ar-SA"/>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微软中国</Company>
  <Pages>4</Pages>
  <Words>309</Words>
  <Characters>321</Characters>
  <Lines>11</Lines>
  <Paragraphs>3</Paragraphs>
  <TotalTime>17</TotalTime>
  <ScaleCrop>false</ScaleCrop>
  <LinksUpToDate>false</LinksUpToDate>
  <CharactersWithSpaces>391</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2020-11-19T01:53:00Z</dcterms:created>
  <dc:creator>Administrator</dc:creator>
  <cp:lastModifiedBy>筱筱</cp:lastModifiedBy>
  <cp:lastPrinted>2022-06-16T00:17:00Z</cp:lastPrinted>
  <dcterms:modified xsi:type="dcterms:W3CDTF">2026-10-20T09:33:22Z</dcterms:modified>
  <cp:revision>31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KSOSaveFontToCloudKey">
    <vt:lpwstr>299464043_cloud</vt:lpwstr>
  </property>
  <property fmtid="{D5CDD505-2E9C-101B-9397-08002B2CF9AE}" pid="4" name="ICV">
    <vt:lpwstr>9F10C79324064F6A9BAFE4117D5C49B7_13</vt:lpwstr>
  </property>
  <property fmtid="{D5CDD505-2E9C-101B-9397-08002B2CF9AE}" pid="5" name="KSOTemplateDocerSaveRecord">
    <vt:lpwstr>eyJoZGlkIjoiNTBlMmQ2ZmI4YmFlYzM0NjQ0OGQwMjg2YTc0NjE3MTkiLCJ1c2VySWQiOiIyODExMjA4MTcifQ==</vt:lpwstr>
  </property>
</Properties>
</file>