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C3E46C">
      <w:pPr>
        <w:jc w:val="center"/>
        <w:rPr>
          <w:rFonts w:hint="eastAsia" w:ascii="方正小标宋_GBK" w:hAnsi="方正小标宋_GBK" w:eastAsia="方正小标宋_GBK" w:cs="方正小标宋_GBK"/>
          <w:color w:val="auto"/>
          <w:sz w:val="32"/>
          <w:szCs w:val="32"/>
          <w:highlight w:val="none"/>
          <w:lang w:val="en-US" w:eastAsia="zh-CN"/>
        </w:rPr>
      </w:pPr>
      <w:r>
        <w:rPr>
          <w:rFonts w:hint="eastAsia" w:ascii="方正小标宋_GBK" w:hAnsi="方正小标宋_GBK" w:eastAsia="方正小标宋_GBK" w:cs="方正小标宋_GBK"/>
          <w:color w:val="auto"/>
          <w:sz w:val="32"/>
          <w:szCs w:val="32"/>
          <w:highlight w:val="none"/>
          <w:lang w:val="en-US" w:eastAsia="zh-CN"/>
        </w:rPr>
        <w:t>洗涤外包服务技术参数及要求</w:t>
      </w:r>
    </w:p>
    <w:p w14:paraId="716B8C23">
      <w:pPr>
        <w:pStyle w:val="3"/>
        <w:keepNext/>
        <w:keepLines/>
        <w:pageBreakBefore w:val="0"/>
        <w:widowControl w:val="0"/>
        <w:kinsoku/>
        <w:wordWrap/>
        <w:overflowPunct/>
        <w:topLinePunct w:val="0"/>
        <w:autoSpaceDE/>
        <w:autoSpaceDN/>
        <w:bidi w:val="0"/>
        <w:adjustRightInd w:val="0"/>
        <w:snapToGrid w:val="0"/>
        <w:spacing w:before="0" w:beforeLines="0" w:after="0" w:afterLines="0" w:line="400" w:lineRule="exact"/>
        <w:ind w:firstLine="482" w:firstLineChars="200"/>
        <w:textAlignment w:val="auto"/>
        <w:rPr>
          <w:rFonts w:hint="eastAsia" w:ascii="方正仿宋_GBK" w:hAnsi="方正仿宋_GBK" w:eastAsia="方正仿宋_GBK" w:cs="方正仿宋_GBK"/>
          <w:color w:val="auto"/>
          <w:sz w:val="24"/>
          <w:highlight w:val="none"/>
          <w:lang w:val="en-US" w:eastAsia="zh-CN"/>
        </w:rPr>
      </w:pPr>
      <w:bookmarkStart w:id="0" w:name="_Toc24129"/>
      <w:bookmarkStart w:id="1" w:name="_Toc65660339"/>
      <w:bookmarkStart w:id="2" w:name="_Toc26971"/>
      <w:bookmarkStart w:id="3" w:name="_Toc29230"/>
      <w:r>
        <w:rPr>
          <w:rFonts w:hint="eastAsia" w:ascii="方正仿宋_GBK" w:hAnsi="方正仿宋_GBK" w:eastAsia="方正仿宋_GBK" w:cs="方正仿宋_GBK"/>
          <w:color w:val="auto"/>
          <w:sz w:val="24"/>
          <w:highlight w:val="none"/>
        </w:rPr>
        <w:t>一、</w:t>
      </w:r>
      <w:bookmarkEnd w:id="0"/>
      <w:bookmarkEnd w:id="1"/>
      <w:bookmarkEnd w:id="2"/>
      <w:r>
        <w:rPr>
          <w:rFonts w:hint="eastAsia" w:ascii="方正仿宋_GBK" w:hAnsi="方正仿宋_GBK" w:eastAsia="方正仿宋_GBK" w:cs="方正仿宋_GBK"/>
          <w:color w:val="auto"/>
          <w:sz w:val="24"/>
          <w:highlight w:val="none"/>
        </w:rPr>
        <w:t>项目基本概况介绍</w:t>
      </w:r>
      <w:bookmarkEnd w:id="3"/>
    </w:p>
    <w:tbl>
      <w:tblPr>
        <w:tblStyle w:val="6"/>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96"/>
        <w:gridCol w:w="1600"/>
        <w:gridCol w:w="1179"/>
        <w:gridCol w:w="1179"/>
        <w:gridCol w:w="3216"/>
      </w:tblGrid>
      <w:tr w14:paraId="1B36E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1596" w:type="dxa"/>
            <w:noWrap w:val="0"/>
            <w:vAlign w:val="center"/>
          </w:tcPr>
          <w:p w14:paraId="0A9BA222">
            <w:pPr>
              <w:snapToGrid w:val="0"/>
              <w:spacing w:line="240" w:lineRule="auto"/>
              <w:ind w:left="0" w:leftChars="0" w:right="0" w:rightChars="0" w:firstLine="0" w:firstLineChars="0"/>
              <w:jc w:val="center"/>
              <w:rPr>
                <w:rStyle w:val="8"/>
                <w:rFonts w:hint="eastAsia" w:ascii="方正仿宋_GBK" w:hAnsi="方正仿宋_GBK" w:eastAsia="方正仿宋_GBK" w:cs="方正仿宋_GBK"/>
                <w:b/>
                <w:bCs/>
                <w:color w:val="auto"/>
                <w:sz w:val="21"/>
                <w:szCs w:val="21"/>
                <w:highlight w:val="none"/>
                <w:lang w:val="en-US" w:eastAsia="zh-CN"/>
              </w:rPr>
            </w:pPr>
            <w:r>
              <w:rPr>
                <w:rStyle w:val="8"/>
                <w:rFonts w:hint="eastAsia" w:ascii="方正仿宋_GBK" w:hAnsi="方正仿宋_GBK" w:eastAsia="方正仿宋_GBK" w:cs="方正仿宋_GBK"/>
                <w:b/>
                <w:bCs/>
                <w:color w:val="auto"/>
                <w:sz w:val="21"/>
                <w:szCs w:val="21"/>
                <w:highlight w:val="none"/>
                <w:lang w:val="en-US" w:eastAsia="zh-CN"/>
              </w:rPr>
              <w:t>项目名称</w:t>
            </w:r>
          </w:p>
        </w:tc>
        <w:tc>
          <w:tcPr>
            <w:tcW w:w="1600" w:type="dxa"/>
            <w:noWrap w:val="0"/>
            <w:vAlign w:val="center"/>
          </w:tcPr>
          <w:p w14:paraId="2A432EE0">
            <w:pPr>
              <w:snapToGrid w:val="0"/>
              <w:spacing w:line="240" w:lineRule="auto"/>
              <w:ind w:left="0" w:leftChars="0" w:right="0" w:rightChars="0" w:firstLine="0" w:firstLineChars="0"/>
              <w:jc w:val="center"/>
              <w:rPr>
                <w:rStyle w:val="8"/>
                <w:rFonts w:hint="default" w:ascii="方正仿宋_GBK" w:hAnsi="方正仿宋_GBK" w:eastAsia="方正仿宋_GBK" w:cs="方正仿宋_GBK"/>
                <w:b/>
                <w:bCs/>
                <w:color w:val="auto"/>
                <w:sz w:val="21"/>
                <w:szCs w:val="21"/>
                <w:highlight w:val="none"/>
                <w:lang w:val="en-US" w:eastAsia="zh-CN"/>
              </w:rPr>
            </w:pPr>
            <w:r>
              <w:rPr>
                <w:rStyle w:val="8"/>
                <w:rFonts w:hint="eastAsia" w:ascii="方正仿宋_GBK" w:hAnsi="方正仿宋_GBK" w:eastAsia="方正仿宋_GBK" w:cs="方正仿宋_GBK"/>
                <w:b/>
                <w:bCs/>
                <w:color w:val="auto"/>
                <w:sz w:val="21"/>
                <w:szCs w:val="21"/>
                <w:highlight w:val="none"/>
                <w:lang w:val="en-US" w:eastAsia="zh-CN"/>
              </w:rPr>
              <w:t>医院基本情况</w:t>
            </w:r>
          </w:p>
        </w:tc>
        <w:tc>
          <w:tcPr>
            <w:tcW w:w="1179" w:type="dxa"/>
            <w:noWrap w:val="0"/>
            <w:vAlign w:val="center"/>
          </w:tcPr>
          <w:p w14:paraId="3B519E0E">
            <w:pPr>
              <w:snapToGrid w:val="0"/>
              <w:spacing w:line="240" w:lineRule="auto"/>
              <w:ind w:left="0" w:leftChars="0" w:right="0" w:rightChars="0" w:firstLine="0" w:firstLineChars="0"/>
              <w:jc w:val="center"/>
              <w:rPr>
                <w:rStyle w:val="8"/>
                <w:rFonts w:hint="eastAsia" w:ascii="方正仿宋_GBK" w:hAnsi="方正仿宋_GBK" w:eastAsia="方正仿宋_GBK" w:cs="方正仿宋_GBK"/>
                <w:b/>
                <w:bCs/>
                <w:color w:val="auto"/>
                <w:sz w:val="21"/>
                <w:szCs w:val="21"/>
                <w:highlight w:val="none"/>
                <w:lang w:val="en-US" w:eastAsia="zh-CN"/>
              </w:rPr>
            </w:pPr>
            <w:r>
              <w:rPr>
                <w:rStyle w:val="8"/>
                <w:rFonts w:hint="eastAsia" w:ascii="方正仿宋_GBK" w:hAnsi="方正仿宋_GBK" w:eastAsia="方正仿宋_GBK" w:cs="方正仿宋_GBK"/>
                <w:b/>
                <w:bCs/>
                <w:color w:val="auto"/>
                <w:sz w:val="21"/>
                <w:szCs w:val="21"/>
                <w:highlight w:val="none"/>
                <w:lang w:val="en-US" w:eastAsia="zh-CN"/>
              </w:rPr>
              <w:t>服务期限</w:t>
            </w:r>
          </w:p>
        </w:tc>
        <w:tc>
          <w:tcPr>
            <w:tcW w:w="1179" w:type="dxa"/>
            <w:noWrap w:val="0"/>
            <w:vAlign w:val="center"/>
          </w:tcPr>
          <w:p w14:paraId="1FFBD1B3">
            <w:pPr>
              <w:snapToGrid w:val="0"/>
              <w:spacing w:line="240" w:lineRule="auto"/>
              <w:ind w:left="0" w:leftChars="0" w:right="0" w:rightChars="0" w:firstLine="0" w:firstLineChars="0"/>
              <w:jc w:val="center"/>
              <w:rPr>
                <w:rStyle w:val="8"/>
                <w:rFonts w:hint="eastAsia" w:ascii="方正仿宋_GBK" w:hAnsi="方正仿宋_GBK" w:eastAsia="方正仿宋_GBK" w:cs="方正仿宋_GBK"/>
                <w:b/>
                <w:bCs/>
                <w:color w:val="auto"/>
                <w:sz w:val="21"/>
                <w:szCs w:val="21"/>
                <w:highlight w:val="none"/>
                <w:lang w:val="en-US" w:eastAsia="zh-CN"/>
              </w:rPr>
            </w:pPr>
            <w:r>
              <w:rPr>
                <w:rStyle w:val="8"/>
                <w:rFonts w:hint="eastAsia" w:ascii="方正仿宋_GBK" w:hAnsi="方正仿宋_GBK" w:eastAsia="方正仿宋_GBK" w:cs="方正仿宋_GBK"/>
                <w:b/>
                <w:bCs/>
                <w:color w:val="auto"/>
                <w:sz w:val="21"/>
                <w:szCs w:val="21"/>
                <w:highlight w:val="none"/>
                <w:lang w:val="en-US" w:eastAsia="zh-CN"/>
              </w:rPr>
              <w:t>最高限价</w:t>
            </w:r>
          </w:p>
          <w:p w14:paraId="6276A87C">
            <w:pPr>
              <w:snapToGrid w:val="0"/>
              <w:spacing w:line="240" w:lineRule="auto"/>
              <w:ind w:left="0" w:leftChars="0" w:right="0" w:rightChars="0" w:firstLine="0" w:firstLineChars="0"/>
              <w:jc w:val="center"/>
              <w:rPr>
                <w:rStyle w:val="8"/>
                <w:rFonts w:hint="eastAsia" w:ascii="方正仿宋_GBK" w:hAnsi="方正仿宋_GBK" w:eastAsia="方正仿宋_GBK" w:cs="方正仿宋_GBK"/>
                <w:b/>
                <w:bCs/>
                <w:color w:val="auto"/>
                <w:sz w:val="21"/>
                <w:szCs w:val="21"/>
                <w:highlight w:val="none"/>
                <w:lang w:val="en-US" w:eastAsia="zh-CN"/>
              </w:rPr>
            </w:pPr>
            <w:r>
              <w:rPr>
                <w:rStyle w:val="8"/>
                <w:rFonts w:hint="eastAsia" w:ascii="方正仿宋_GBK" w:hAnsi="方正仿宋_GBK" w:eastAsia="方正仿宋_GBK" w:cs="方正仿宋_GBK"/>
                <w:b/>
                <w:bCs/>
                <w:color w:val="auto"/>
                <w:sz w:val="21"/>
                <w:szCs w:val="21"/>
                <w:highlight w:val="none"/>
                <w:lang w:val="en-US" w:eastAsia="zh-CN"/>
              </w:rPr>
              <w:t>（万元）</w:t>
            </w:r>
          </w:p>
        </w:tc>
        <w:tc>
          <w:tcPr>
            <w:tcW w:w="3216" w:type="dxa"/>
            <w:noWrap w:val="0"/>
            <w:vAlign w:val="center"/>
          </w:tcPr>
          <w:p w14:paraId="7A10B08F">
            <w:pPr>
              <w:snapToGrid w:val="0"/>
              <w:spacing w:line="240" w:lineRule="auto"/>
              <w:ind w:left="0" w:leftChars="0" w:right="0" w:rightChars="0" w:firstLine="0" w:firstLineChars="0"/>
              <w:jc w:val="center"/>
              <w:rPr>
                <w:rStyle w:val="8"/>
                <w:rFonts w:hint="default" w:ascii="方正仿宋_GBK" w:hAnsi="方正仿宋_GBK" w:eastAsia="方正仿宋_GBK" w:cs="方正仿宋_GBK"/>
                <w:b/>
                <w:bCs/>
                <w:color w:val="auto"/>
                <w:sz w:val="21"/>
                <w:szCs w:val="21"/>
                <w:highlight w:val="none"/>
                <w:lang w:val="en-US" w:eastAsia="zh-CN"/>
              </w:rPr>
            </w:pPr>
            <w:r>
              <w:rPr>
                <w:rStyle w:val="8"/>
                <w:rFonts w:hint="eastAsia" w:ascii="方正仿宋_GBK" w:hAnsi="方正仿宋_GBK" w:eastAsia="方正仿宋_GBK" w:cs="方正仿宋_GBK"/>
                <w:b/>
                <w:bCs/>
                <w:color w:val="auto"/>
                <w:sz w:val="21"/>
                <w:szCs w:val="21"/>
                <w:highlight w:val="none"/>
                <w:lang w:val="en-US" w:eastAsia="zh-CN"/>
              </w:rPr>
              <w:t>备注</w:t>
            </w:r>
          </w:p>
        </w:tc>
      </w:tr>
      <w:tr w14:paraId="77F3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596" w:type="dxa"/>
            <w:noWrap w:val="0"/>
            <w:vAlign w:val="center"/>
          </w:tcPr>
          <w:p w14:paraId="58CD73AC">
            <w:pPr>
              <w:snapToGrid w:val="0"/>
              <w:spacing w:line="240" w:lineRule="auto"/>
              <w:ind w:left="0" w:leftChars="0" w:right="0" w:rightChars="0" w:firstLine="0" w:firstLineChars="0"/>
              <w:jc w:val="center"/>
              <w:rPr>
                <w:rStyle w:val="8"/>
                <w:rFonts w:hint="eastAsia"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shd w:val="clear" w:color="auto" w:fill="auto"/>
                <w:lang w:eastAsia="zh-CN"/>
              </w:rPr>
              <w:t>洗涤外包服务</w:t>
            </w:r>
          </w:p>
        </w:tc>
        <w:tc>
          <w:tcPr>
            <w:tcW w:w="1600" w:type="dxa"/>
            <w:noWrap w:val="0"/>
            <w:vAlign w:val="center"/>
          </w:tcPr>
          <w:p w14:paraId="01B3E997">
            <w:pPr>
              <w:pStyle w:val="4"/>
              <w:numPr>
                <w:ilvl w:val="0"/>
                <w:numId w:val="0"/>
              </w:numPr>
              <w:ind w:left="0" w:leftChars="0" w:right="0" w:rightChars="0" w:firstLine="0" w:firstLineChars="0"/>
              <w:jc w:val="center"/>
              <w:rPr>
                <w:rFonts w:hint="default"/>
                <w:color w:val="auto"/>
                <w:sz w:val="21"/>
                <w:szCs w:val="21"/>
                <w:highlight w:val="none"/>
                <w:lang w:val="en-US" w:eastAsia="zh-CN"/>
              </w:rPr>
            </w:pPr>
            <w:r>
              <w:rPr>
                <w:rFonts w:hint="default" w:ascii="方正仿宋_GBK" w:hAnsi="方正仿宋_GBK" w:eastAsia="方正仿宋_GBK" w:cs="方正仿宋_GBK"/>
                <w:color w:val="auto"/>
                <w:kern w:val="2"/>
                <w:sz w:val="21"/>
                <w:szCs w:val="21"/>
                <w:highlight w:val="none"/>
                <w:shd w:val="clear" w:color="auto" w:fill="auto"/>
                <w:lang w:val="en-US" w:eastAsia="zh-CN" w:bidi="ar-SA"/>
              </w:rPr>
              <w:t>编制床位</w:t>
            </w:r>
            <w:r>
              <w:rPr>
                <w:rFonts w:hint="eastAsia" w:ascii="方正仿宋_GBK" w:hAnsi="方正仿宋_GBK" w:eastAsia="方正仿宋_GBK" w:cs="方正仿宋_GBK"/>
                <w:color w:val="auto"/>
                <w:kern w:val="2"/>
                <w:sz w:val="21"/>
                <w:szCs w:val="21"/>
                <w:highlight w:val="none"/>
                <w:shd w:val="clear" w:color="auto" w:fill="auto"/>
                <w:lang w:val="en-US" w:eastAsia="zh-CN" w:bidi="ar-SA"/>
              </w:rPr>
              <w:t>1200</w:t>
            </w:r>
            <w:r>
              <w:rPr>
                <w:rFonts w:hint="default" w:ascii="方正仿宋_GBK" w:hAnsi="方正仿宋_GBK" w:eastAsia="方正仿宋_GBK" w:cs="方正仿宋_GBK"/>
                <w:color w:val="auto"/>
                <w:kern w:val="2"/>
                <w:sz w:val="21"/>
                <w:szCs w:val="21"/>
                <w:highlight w:val="none"/>
                <w:shd w:val="clear" w:color="auto" w:fill="auto"/>
                <w:lang w:val="en-US" w:eastAsia="zh-CN" w:bidi="ar-SA"/>
              </w:rPr>
              <w:t>张。</w:t>
            </w:r>
          </w:p>
        </w:tc>
        <w:tc>
          <w:tcPr>
            <w:tcW w:w="1179" w:type="dxa"/>
            <w:noWrap w:val="0"/>
            <w:vAlign w:val="center"/>
          </w:tcPr>
          <w:p w14:paraId="285E44AF">
            <w:pPr>
              <w:snapToGrid w:val="0"/>
              <w:spacing w:line="240" w:lineRule="auto"/>
              <w:ind w:left="0" w:leftChars="0" w:right="0" w:rightChars="0" w:firstLine="0" w:firstLineChars="0"/>
              <w:jc w:val="center"/>
              <w:rPr>
                <w:rStyle w:val="8"/>
                <w:rFonts w:hint="eastAsia" w:ascii="方正仿宋_GBK" w:hAnsi="方正仿宋_GBK" w:eastAsia="方正仿宋_GBK" w:cs="方正仿宋_GBK"/>
                <w:color w:val="auto"/>
                <w:sz w:val="21"/>
                <w:szCs w:val="21"/>
                <w:highlight w:val="none"/>
                <w:lang w:val="en-US" w:eastAsia="zh-CN"/>
              </w:rPr>
            </w:pPr>
            <w:r>
              <w:rPr>
                <w:rStyle w:val="8"/>
                <w:rFonts w:hint="eastAsia" w:ascii="方正仿宋_GBK" w:hAnsi="方正仿宋_GBK" w:eastAsia="方正仿宋_GBK" w:cs="方正仿宋_GBK"/>
                <w:color w:val="auto"/>
                <w:sz w:val="21"/>
                <w:szCs w:val="21"/>
                <w:highlight w:val="none"/>
                <w:lang w:val="en-US" w:eastAsia="zh-CN"/>
              </w:rPr>
              <w:t>一年</w:t>
            </w:r>
          </w:p>
        </w:tc>
        <w:tc>
          <w:tcPr>
            <w:tcW w:w="1179" w:type="dxa"/>
            <w:noWrap w:val="0"/>
            <w:vAlign w:val="center"/>
          </w:tcPr>
          <w:p w14:paraId="040054F7">
            <w:pPr>
              <w:snapToGrid w:val="0"/>
              <w:spacing w:line="240" w:lineRule="auto"/>
              <w:ind w:left="0" w:leftChars="0" w:right="0" w:rightChars="0" w:firstLine="0" w:firstLineChars="0"/>
              <w:jc w:val="center"/>
              <w:rPr>
                <w:rStyle w:val="8"/>
                <w:rFonts w:hint="default" w:ascii="方正仿宋_GBK" w:hAnsi="方正仿宋_GBK" w:eastAsia="方正仿宋_GBK" w:cs="方正仿宋_GBK"/>
                <w:color w:val="auto"/>
                <w:sz w:val="21"/>
                <w:szCs w:val="21"/>
                <w:highlight w:val="none"/>
                <w:lang w:val="en-US" w:eastAsia="zh-CN"/>
              </w:rPr>
            </w:pPr>
            <w:r>
              <w:rPr>
                <w:rStyle w:val="8"/>
                <w:rFonts w:hint="eastAsia" w:ascii="方正仿宋_GBK" w:hAnsi="方正仿宋_GBK" w:eastAsia="方正仿宋_GBK" w:cs="方正仿宋_GBK"/>
                <w:color w:val="auto"/>
                <w:sz w:val="21"/>
                <w:szCs w:val="21"/>
                <w:highlight w:val="none"/>
                <w:lang w:val="en-US" w:eastAsia="zh-CN"/>
              </w:rPr>
              <w:t>98</w:t>
            </w:r>
          </w:p>
        </w:tc>
        <w:tc>
          <w:tcPr>
            <w:tcW w:w="3216" w:type="dxa"/>
            <w:noWrap w:val="0"/>
            <w:vAlign w:val="center"/>
          </w:tcPr>
          <w:p w14:paraId="71E01B12">
            <w:pPr>
              <w:snapToGrid w:val="0"/>
              <w:spacing w:line="240" w:lineRule="auto"/>
              <w:ind w:left="0" w:leftChars="0" w:right="0" w:rightChars="0" w:firstLine="0" w:firstLineChars="0"/>
              <w:jc w:val="center"/>
              <w:rPr>
                <w:rStyle w:val="8"/>
                <w:rFonts w:hint="default" w:ascii="方正仿宋_GBK" w:hAnsi="方正仿宋_GBK" w:eastAsia="方正仿宋_GBK" w:cs="方正仿宋_GBK"/>
                <w:color w:val="auto"/>
                <w:sz w:val="21"/>
                <w:szCs w:val="21"/>
                <w:highlight w:val="none"/>
                <w:lang w:val="en-US" w:eastAsia="zh-CN"/>
              </w:rPr>
            </w:pPr>
            <w:r>
              <w:rPr>
                <w:rStyle w:val="8"/>
                <w:rFonts w:hint="eastAsia" w:ascii="方正仿宋_GBK" w:hAnsi="方正仿宋_GBK" w:eastAsia="方正仿宋_GBK" w:cs="方正仿宋_GBK"/>
                <w:color w:val="auto"/>
                <w:sz w:val="21"/>
                <w:szCs w:val="21"/>
                <w:highlight w:val="none"/>
                <w:lang w:val="en-US" w:eastAsia="zh-CN"/>
              </w:rPr>
              <w:t>本限价包含人工、耗材、运输、洗涤、利润、税费等所有费用，包干使用。</w:t>
            </w:r>
          </w:p>
        </w:tc>
      </w:tr>
    </w:tbl>
    <w:p w14:paraId="39E67666">
      <w:pPr>
        <w:pStyle w:val="3"/>
        <w:keepNext/>
        <w:keepLines/>
        <w:pageBreakBefore w:val="0"/>
        <w:widowControl w:val="0"/>
        <w:kinsoku/>
        <w:wordWrap/>
        <w:overflowPunct/>
        <w:topLinePunct w:val="0"/>
        <w:autoSpaceDE/>
        <w:autoSpaceDN/>
        <w:bidi w:val="0"/>
        <w:adjustRightInd w:val="0"/>
        <w:snapToGrid w:val="0"/>
        <w:spacing w:before="0" w:beforeLines="0" w:after="0" w:afterLines="0" w:line="400" w:lineRule="exact"/>
        <w:ind w:firstLine="482" w:firstLineChars="200"/>
        <w:textAlignment w:val="auto"/>
        <w:rPr>
          <w:rFonts w:hint="default" w:ascii="方正仿宋_GBK" w:hAnsi="方正仿宋_GBK" w:eastAsia="方正仿宋_GBK" w:cs="方正仿宋_GBK"/>
          <w:b/>
          <w:color w:val="auto"/>
          <w:sz w:val="24"/>
          <w:highlight w:val="none"/>
          <w:lang w:val="en-US" w:eastAsia="zh-CN"/>
        </w:rPr>
      </w:pPr>
      <w:bookmarkStart w:id="4" w:name="_Toc10715"/>
      <w:r>
        <w:rPr>
          <w:rFonts w:hint="eastAsia" w:ascii="方正仿宋_GBK" w:hAnsi="方正仿宋_GBK" w:eastAsia="方正仿宋_GBK" w:cs="方正仿宋_GBK"/>
          <w:b/>
          <w:color w:val="auto"/>
          <w:sz w:val="24"/>
          <w:highlight w:val="none"/>
          <w:lang w:val="en-US" w:eastAsia="zh-CN"/>
        </w:rPr>
        <w:t>二、项目说明</w:t>
      </w:r>
      <w:bookmarkEnd w:id="4"/>
    </w:p>
    <w:p w14:paraId="73338A33">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服务</w:t>
      </w:r>
      <w:r>
        <w:rPr>
          <w:rFonts w:hint="eastAsia" w:ascii="方正仿宋_GBK" w:hAnsi="宋体" w:eastAsia="方正仿宋_GBK" w:cs="Times New Roman"/>
          <w:color w:val="auto"/>
          <w:sz w:val="24"/>
          <w:szCs w:val="24"/>
          <w:highlight w:val="none"/>
          <w:lang w:val="en-US" w:eastAsia="zh-TW"/>
        </w:rPr>
        <w:t>范围包括：</w:t>
      </w:r>
      <w:r>
        <w:rPr>
          <w:rFonts w:hint="eastAsia" w:ascii="方正仿宋_GBK" w:hAnsi="宋体" w:eastAsia="方正仿宋_GBK" w:cs="Times New Roman"/>
          <w:color w:val="auto"/>
          <w:sz w:val="24"/>
          <w:szCs w:val="24"/>
          <w:highlight w:val="none"/>
          <w:lang w:val="en-US" w:eastAsia="zh-CN"/>
        </w:rPr>
        <w:t>大足区人民医院业务范围内</w:t>
      </w:r>
      <w:r>
        <w:rPr>
          <w:rFonts w:hint="eastAsia" w:ascii="方正仿宋_GBK" w:hAnsi="宋体" w:eastAsia="方正仿宋_GBK" w:cs="Times New Roman"/>
          <w:color w:val="auto"/>
          <w:sz w:val="24"/>
          <w:szCs w:val="24"/>
          <w:highlight w:val="none"/>
          <w:lang w:val="en-US" w:eastAsia="zh-TW"/>
        </w:rPr>
        <w:t>的所有织物的洗涤。提供医院织物的洗涤服务，包括医用织物的特殊去渍、专业预洗、洗涤、漂洗、烘干、消毒、整理、熨烫、缝补及运输送货等。</w:t>
      </w:r>
    </w:p>
    <w:p w14:paraId="72C4F40E">
      <w:pPr>
        <w:pStyle w:val="3"/>
        <w:keepNext/>
        <w:keepLines/>
        <w:pageBreakBefore w:val="0"/>
        <w:widowControl w:val="0"/>
        <w:kinsoku/>
        <w:wordWrap/>
        <w:overflowPunct/>
        <w:topLinePunct w:val="0"/>
        <w:autoSpaceDE/>
        <w:autoSpaceDN/>
        <w:bidi w:val="0"/>
        <w:adjustRightInd w:val="0"/>
        <w:snapToGrid w:val="0"/>
        <w:spacing w:before="0" w:beforeLines="0" w:after="0" w:afterLines="0" w:line="400" w:lineRule="exact"/>
        <w:ind w:firstLine="482" w:firstLineChars="200"/>
        <w:textAlignment w:val="auto"/>
        <w:rPr>
          <w:rFonts w:hint="default" w:ascii="方正仿宋_GBK" w:hAnsi="方正仿宋_GBK" w:eastAsia="方正仿宋_GBK" w:cs="方正仿宋_GBK"/>
          <w:b/>
          <w:color w:val="auto"/>
          <w:kern w:val="2"/>
          <w:sz w:val="24"/>
          <w:highlight w:val="none"/>
          <w:lang w:val="en-US" w:eastAsia="zh-CN" w:bidi="ar-SA"/>
        </w:rPr>
      </w:pPr>
      <w:bookmarkStart w:id="5" w:name="_Toc2262"/>
      <w:r>
        <w:rPr>
          <w:rFonts w:hint="eastAsia" w:ascii="方正仿宋_GBK" w:hAnsi="方正仿宋_GBK" w:eastAsia="方正仿宋_GBK" w:cs="方正仿宋_GBK"/>
          <w:b/>
          <w:color w:val="auto"/>
          <w:kern w:val="2"/>
          <w:sz w:val="24"/>
          <w:highlight w:val="none"/>
          <w:lang w:val="en-US" w:eastAsia="zh-CN" w:bidi="ar-SA"/>
        </w:rPr>
        <w:t>三、服务内容</w:t>
      </w:r>
      <w:bookmarkEnd w:id="5"/>
    </w:p>
    <w:p w14:paraId="508822A4">
      <w:pPr>
        <w:spacing w:line="400" w:lineRule="exact"/>
        <w:ind w:firstLine="480" w:firstLineChars="200"/>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TW"/>
        </w:rPr>
        <w:t>主要提供医院织物的洗涤服务，包括织物的特殊去渍、专业洗涤、漂洗、烘干、消毒、整理、熨烫、缝补及运输送货等。</w:t>
      </w:r>
      <w:r>
        <w:rPr>
          <w:rFonts w:hint="eastAsia" w:ascii="方正仿宋_GBK" w:hAnsi="宋体" w:eastAsia="方正仿宋_GBK" w:cs="Times New Roman"/>
          <w:color w:val="auto"/>
          <w:sz w:val="24"/>
          <w:szCs w:val="24"/>
          <w:highlight w:val="none"/>
          <w:lang w:val="en-US" w:eastAsia="zh-CN"/>
        </w:rPr>
        <w:t>具体如下：</w:t>
      </w:r>
    </w:p>
    <w:p w14:paraId="7FDF1FEA">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1.</w:t>
      </w:r>
      <w:r>
        <w:rPr>
          <w:rFonts w:hint="eastAsia" w:ascii="方正仿宋_GBK" w:hAnsi="宋体" w:eastAsia="方正仿宋_GBK" w:cs="Times New Roman"/>
          <w:color w:val="auto"/>
          <w:sz w:val="24"/>
          <w:szCs w:val="24"/>
          <w:highlight w:val="none"/>
          <w:lang w:val="en-US" w:eastAsia="zh-TW"/>
        </w:rPr>
        <w:t>医院职工工作服</w:t>
      </w:r>
      <w:r>
        <w:rPr>
          <w:rFonts w:hint="eastAsia" w:ascii="方正仿宋_GBK" w:hAnsi="宋体" w:eastAsia="方正仿宋_GBK" w:cs="Times New Roman"/>
          <w:color w:val="auto"/>
          <w:sz w:val="24"/>
          <w:szCs w:val="24"/>
          <w:highlight w:val="none"/>
          <w:lang w:val="en-US" w:eastAsia="zh-CN"/>
        </w:rPr>
        <w:t>（包括但不限于医生工作服、护士服、洗手衣等）</w:t>
      </w:r>
      <w:r>
        <w:rPr>
          <w:rFonts w:hint="eastAsia" w:ascii="方正仿宋_GBK" w:hAnsi="宋体" w:eastAsia="方正仿宋_GBK" w:cs="Times New Roman"/>
          <w:color w:val="auto"/>
          <w:sz w:val="24"/>
          <w:szCs w:val="24"/>
          <w:highlight w:val="none"/>
          <w:lang w:val="en-US" w:eastAsia="zh-TW"/>
        </w:rPr>
        <w:t>。</w:t>
      </w:r>
    </w:p>
    <w:p w14:paraId="304CA9FB">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2.</w:t>
      </w:r>
      <w:r>
        <w:rPr>
          <w:rFonts w:hint="eastAsia" w:ascii="方正仿宋_GBK" w:hAnsi="宋体" w:eastAsia="方正仿宋_GBK" w:cs="Times New Roman"/>
          <w:color w:val="auto"/>
          <w:sz w:val="24"/>
          <w:szCs w:val="24"/>
          <w:highlight w:val="none"/>
          <w:lang w:val="en-US" w:eastAsia="zh-TW"/>
        </w:rPr>
        <w:t>医院值班室床单、被套、枕套。</w:t>
      </w:r>
    </w:p>
    <w:p w14:paraId="1638A6C9">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3.</w:t>
      </w:r>
      <w:r>
        <w:rPr>
          <w:rFonts w:hint="eastAsia" w:ascii="方正仿宋_GBK" w:hAnsi="宋体" w:eastAsia="方正仿宋_GBK" w:cs="Times New Roman"/>
          <w:color w:val="auto"/>
          <w:sz w:val="24"/>
          <w:szCs w:val="24"/>
          <w:highlight w:val="none"/>
          <w:lang w:val="en-US" w:eastAsia="zh-TW"/>
        </w:rPr>
        <w:t>科室包布、治疗巾，麻醉手术室、消毒供应中心各种医用织物等。</w:t>
      </w:r>
    </w:p>
    <w:p w14:paraId="77D3DF38">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4.</w:t>
      </w:r>
      <w:r>
        <w:rPr>
          <w:rFonts w:hint="eastAsia" w:ascii="方正仿宋_GBK" w:hAnsi="宋体" w:eastAsia="方正仿宋_GBK" w:cs="Times New Roman"/>
          <w:color w:val="auto"/>
          <w:sz w:val="24"/>
          <w:szCs w:val="24"/>
          <w:highlight w:val="none"/>
          <w:lang w:val="en-US" w:eastAsia="zh-TW"/>
        </w:rPr>
        <w:t>医院诊断室及辅助检查室检查单。</w:t>
      </w:r>
    </w:p>
    <w:p w14:paraId="33DD6368">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5.</w:t>
      </w:r>
      <w:r>
        <w:rPr>
          <w:rFonts w:hint="eastAsia" w:ascii="方正仿宋_GBK" w:hAnsi="宋体" w:eastAsia="方正仿宋_GBK" w:cs="Times New Roman"/>
          <w:color w:val="auto"/>
          <w:sz w:val="24"/>
          <w:szCs w:val="24"/>
          <w:highlight w:val="none"/>
          <w:lang w:val="en-US" w:eastAsia="zh-TW"/>
        </w:rPr>
        <w:t>病员服。</w:t>
      </w:r>
    </w:p>
    <w:p w14:paraId="0EB59236">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6.</w:t>
      </w:r>
      <w:r>
        <w:rPr>
          <w:rFonts w:hint="eastAsia" w:ascii="方正仿宋_GBK" w:hAnsi="宋体" w:eastAsia="方正仿宋_GBK" w:cs="Times New Roman"/>
          <w:color w:val="auto"/>
          <w:sz w:val="24"/>
          <w:szCs w:val="24"/>
          <w:highlight w:val="none"/>
          <w:lang w:val="en-US" w:eastAsia="zh-TW"/>
        </w:rPr>
        <w:t>医院窗帘、围帘洗涤。</w:t>
      </w:r>
    </w:p>
    <w:p w14:paraId="34B2F25D">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7.</w:t>
      </w:r>
      <w:r>
        <w:rPr>
          <w:rFonts w:hint="eastAsia" w:ascii="方正仿宋_GBK" w:hAnsi="宋体" w:eastAsia="方正仿宋_GBK" w:cs="Times New Roman"/>
          <w:color w:val="auto"/>
          <w:sz w:val="24"/>
          <w:szCs w:val="24"/>
          <w:highlight w:val="none"/>
          <w:lang w:val="en-US" w:eastAsia="zh-TW"/>
        </w:rPr>
        <w:t>病室被套、大单、各类中单。</w:t>
      </w:r>
    </w:p>
    <w:p w14:paraId="3DC3037B">
      <w:pPr>
        <w:spacing w:line="400" w:lineRule="exact"/>
        <w:ind w:firstLine="480" w:firstLineChars="200"/>
        <w:rPr>
          <w:rFonts w:hint="eastAsia" w:ascii="方正仿宋_GBK" w:hAnsi="宋体" w:eastAsia="方正仿宋_GBK" w:cs="Times New Roman"/>
          <w:color w:val="auto"/>
          <w:sz w:val="24"/>
          <w:szCs w:val="24"/>
          <w:highlight w:val="none"/>
          <w:lang w:val="en-US" w:eastAsia="zh-TW"/>
        </w:rPr>
      </w:pPr>
      <w:r>
        <w:rPr>
          <w:rFonts w:hint="eastAsia" w:ascii="方正仿宋_GBK" w:hAnsi="宋体" w:eastAsia="方正仿宋_GBK" w:cs="Times New Roman"/>
          <w:color w:val="auto"/>
          <w:sz w:val="24"/>
          <w:szCs w:val="24"/>
          <w:highlight w:val="none"/>
          <w:lang w:val="en-US" w:eastAsia="zh-CN"/>
        </w:rPr>
        <w:t>8.</w:t>
      </w:r>
      <w:r>
        <w:rPr>
          <w:rFonts w:hint="eastAsia" w:ascii="方正仿宋_GBK" w:hAnsi="宋体" w:eastAsia="方正仿宋_GBK" w:cs="Times New Roman"/>
          <w:color w:val="auto"/>
          <w:sz w:val="24"/>
          <w:szCs w:val="24"/>
          <w:highlight w:val="none"/>
          <w:lang w:val="en-US" w:eastAsia="zh-TW"/>
        </w:rPr>
        <w:t>各种设备套，</w:t>
      </w:r>
      <w:r>
        <w:rPr>
          <w:rFonts w:hint="eastAsia" w:ascii="方正仿宋_GBK" w:hAnsi="宋体" w:eastAsia="方正仿宋_GBK" w:cs="Times New Roman"/>
          <w:color w:val="auto"/>
          <w:sz w:val="24"/>
          <w:szCs w:val="24"/>
          <w:highlight w:val="none"/>
          <w:lang w:val="en-US" w:eastAsia="zh-CN"/>
        </w:rPr>
        <w:t>地垫</w:t>
      </w:r>
      <w:r>
        <w:rPr>
          <w:rFonts w:hint="eastAsia" w:ascii="方正仿宋_GBK" w:hAnsi="宋体" w:eastAsia="方正仿宋_GBK" w:cs="Times New Roman"/>
          <w:color w:val="auto"/>
          <w:sz w:val="24"/>
          <w:szCs w:val="24"/>
          <w:highlight w:val="none"/>
          <w:lang w:val="en-US" w:eastAsia="zh-TW"/>
        </w:rPr>
        <w:t>、</w:t>
      </w:r>
      <w:r>
        <w:rPr>
          <w:rFonts w:hint="eastAsia" w:ascii="方正仿宋_GBK" w:hAnsi="宋体" w:eastAsia="方正仿宋_GBK" w:cs="Times New Roman"/>
          <w:color w:val="auto"/>
          <w:sz w:val="24"/>
          <w:szCs w:val="24"/>
          <w:highlight w:val="none"/>
          <w:lang w:val="en-US" w:eastAsia="zh-CN"/>
        </w:rPr>
        <w:t>窗帘、毛毯、拖布、毛巾、</w:t>
      </w:r>
      <w:r>
        <w:rPr>
          <w:rFonts w:hint="eastAsia" w:ascii="方正仿宋_GBK" w:hAnsi="宋体" w:eastAsia="方正仿宋_GBK" w:cs="Times New Roman"/>
          <w:color w:val="auto"/>
          <w:sz w:val="24"/>
          <w:szCs w:val="24"/>
          <w:highlight w:val="none"/>
          <w:lang w:val="en-US" w:eastAsia="zh-TW"/>
        </w:rPr>
        <w:t>毛毯等。</w:t>
      </w:r>
    </w:p>
    <w:p w14:paraId="45DED235">
      <w:pPr>
        <w:spacing w:line="400" w:lineRule="exact"/>
        <w:ind w:firstLine="480" w:firstLineChars="200"/>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9.</w:t>
      </w:r>
      <w:r>
        <w:rPr>
          <w:rFonts w:hint="eastAsia" w:ascii="方正仿宋_GBK" w:hAnsi="宋体" w:eastAsia="方正仿宋_GBK" w:cs="Times New Roman"/>
          <w:color w:val="auto"/>
          <w:sz w:val="24"/>
          <w:szCs w:val="24"/>
          <w:highlight w:val="none"/>
          <w:lang w:val="en-US" w:eastAsia="zh-TW"/>
        </w:rPr>
        <w:t>科室需要洗涤的其他医用织物。</w:t>
      </w:r>
    </w:p>
    <w:p w14:paraId="5FEAE9CB">
      <w:pPr>
        <w:pStyle w:val="3"/>
        <w:keepNext/>
        <w:keepLines/>
        <w:pageBreakBefore w:val="0"/>
        <w:widowControl w:val="0"/>
        <w:kinsoku/>
        <w:wordWrap/>
        <w:overflowPunct/>
        <w:topLinePunct w:val="0"/>
        <w:autoSpaceDE/>
        <w:autoSpaceDN/>
        <w:bidi w:val="0"/>
        <w:adjustRightInd w:val="0"/>
        <w:snapToGrid w:val="0"/>
        <w:spacing w:before="0" w:beforeLines="0" w:after="0" w:afterLines="0" w:line="400" w:lineRule="exact"/>
        <w:ind w:firstLine="482" w:firstLineChars="200"/>
        <w:textAlignment w:val="auto"/>
        <w:rPr>
          <w:rFonts w:hint="eastAsia" w:ascii="方正仿宋_GBK" w:hAnsi="方正仿宋_GBK" w:eastAsia="方正仿宋_GBK" w:cs="方正仿宋_GBK"/>
          <w:b/>
          <w:color w:val="auto"/>
          <w:kern w:val="2"/>
          <w:sz w:val="24"/>
          <w:highlight w:val="none"/>
          <w:lang w:val="en-US" w:eastAsia="zh-CN" w:bidi="ar-SA"/>
        </w:rPr>
      </w:pPr>
      <w:bookmarkStart w:id="6" w:name="_Toc25041"/>
      <w:r>
        <w:rPr>
          <w:rFonts w:hint="eastAsia" w:ascii="方正仿宋_GBK" w:hAnsi="方正仿宋_GBK" w:eastAsia="方正仿宋_GBK" w:cs="方正仿宋_GBK"/>
          <w:b/>
          <w:color w:val="auto"/>
          <w:kern w:val="2"/>
          <w:sz w:val="24"/>
          <w:highlight w:val="none"/>
          <w:lang w:val="en-US" w:eastAsia="zh-CN" w:bidi="ar-SA"/>
        </w:rPr>
        <w:t>四、洗涤服务技术要求及质量标准</w:t>
      </w:r>
      <w:bookmarkEnd w:id="6"/>
    </w:p>
    <w:p w14:paraId="256FC1DF">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b/>
          <w:bCs/>
          <w:color w:val="auto"/>
          <w:sz w:val="24"/>
          <w:szCs w:val="24"/>
          <w:highlight w:val="none"/>
          <w:lang w:val="en-US" w:eastAsia="zh-CN"/>
        </w:rPr>
        <w:t>1.洗涤服务的范围</w:t>
      </w:r>
    </w:p>
    <w:p w14:paraId="30BBC8BC">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所有被服及布草、盖絮及枕芯（包括但不仅限于被服及布类物品）的洗涤、熨烫、折叠、修补；窗、围帘原则上一般科室围帘、窗帘一年1次；根据院感要求重点科室窗帘、围帘每季度一次，根据采购人需求特殊情况需临时清洗；其他布类按需要换洗。</w:t>
      </w:r>
    </w:p>
    <w:p w14:paraId="3EE8BB4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※（2）每周至少6次到医院各科室接送洗涤物品，布草、工作服、病员服、窗帘、地垫、棉衣类物品、床单、被套、枕套、拖布、毛巾等在24小时内送还采购人。每周原则上周日不接送洗涤物品。</w:t>
      </w:r>
    </w:p>
    <w:p w14:paraId="2C20971E">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3）对所承包洗涤的布类物品，应按规定进行缝补（缝补时保证同花色、新旧程度相符，不影响美观），保证物品无破损、无开线、无纽扣缺失、无橡筋松脱、无拉链损坏等现象，对所承包洗涤的布类提供免费印字服务（与采购人现有布类字体、字样、颜色、印刷位置等一致），不包含新购进布类的印字服务，严禁在所有布类物品上乱写、乱涂、乱画或做任何影响布类感官的记号。所有布类物品缝补所需材料及印字材料由成交供应商提供。</w:t>
      </w:r>
    </w:p>
    <w:p w14:paraId="1C50FEEC">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b w:val="0"/>
          <w:bCs w:val="0"/>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w:t>
      </w:r>
      <w:r>
        <w:rPr>
          <w:rFonts w:hint="eastAsia" w:ascii="方正仿宋_GBK" w:hAnsi="宋体" w:eastAsia="方正仿宋_GBK" w:cs="Times New Roman"/>
          <w:b w:val="0"/>
          <w:bCs w:val="0"/>
          <w:color w:val="auto"/>
          <w:sz w:val="24"/>
          <w:szCs w:val="24"/>
          <w:highlight w:val="none"/>
          <w:lang w:val="en-US" w:eastAsia="zh-CN"/>
        </w:rPr>
        <w:t>（4）洗涤物品损耗处理：</w:t>
      </w:r>
      <w:r>
        <w:rPr>
          <w:rFonts w:hint="default" w:ascii="方正仿宋_GBK" w:hAnsi="宋体" w:eastAsia="方正仿宋_GBK" w:cs="Times New Roman"/>
          <w:b w:val="0"/>
          <w:bCs w:val="0"/>
          <w:color w:val="auto"/>
          <w:sz w:val="24"/>
          <w:szCs w:val="24"/>
          <w:highlight w:val="none"/>
          <w:lang w:val="en-US" w:eastAsia="zh-CN"/>
        </w:rPr>
        <w:t>所有布类的报废标准由采购方指定专人判定，供应商洗涤完成后，需按照双方交接清单的数量原样送回</w:t>
      </w:r>
      <w:r>
        <w:rPr>
          <w:rFonts w:hint="eastAsia" w:ascii="方正仿宋_GBK" w:hAnsi="宋体" w:eastAsia="方正仿宋_GBK" w:cs="Times New Roman"/>
          <w:b w:val="0"/>
          <w:bCs w:val="0"/>
          <w:color w:val="auto"/>
          <w:sz w:val="24"/>
          <w:szCs w:val="24"/>
          <w:highlight w:val="none"/>
          <w:lang w:val="en-US" w:eastAsia="zh-CN"/>
        </w:rPr>
        <w:t>（含需报废洗涤物品）</w:t>
      </w:r>
      <w:r>
        <w:rPr>
          <w:rFonts w:hint="default" w:ascii="方正仿宋_GBK" w:hAnsi="宋体" w:eastAsia="方正仿宋_GBK" w:cs="Times New Roman"/>
          <w:b w:val="0"/>
          <w:bCs w:val="0"/>
          <w:color w:val="auto"/>
          <w:sz w:val="24"/>
          <w:szCs w:val="24"/>
          <w:highlight w:val="none"/>
          <w:lang w:val="en-US" w:eastAsia="zh-CN"/>
        </w:rPr>
        <w:t>。每月因洗涤操作导致布类破损、无法使用的正常报废情况，总数不得超过</w:t>
      </w:r>
      <w:r>
        <w:rPr>
          <w:rFonts w:hint="eastAsia" w:ascii="方正仿宋_GBK" w:hAnsi="宋体" w:eastAsia="方正仿宋_GBK" w:cs="Times New Roman"/>
          <w:b w:val="0"/>
          <w:bCs w:val="0"/>
          <w:color w:val="auto"/>
          <w:sz w:val="24"/>
          <w:szCs w:val="24"/>
          <w:highlight w:val="none"/>
          <w:lang w:val="en-US" w:eastAsia="zh-CN"/>
        </w:rPr>
        <w:t>200</w:t>
      </w:r>
      <w:r>
        <w:rPr>
          <w:rFonts w:hint="default" w:ascii="方正仿宋_GBK" w:hAnsi="宋体" w:eastAsia="方正仿宋_GBK" w:cs="Times New Roman"/>
          <w:b w:val="0"/>
          <w:bCs w:val="0"/>
          <w:color w:val="auto"/>
          <w:sz w:val="24"/>
          <w:szCs w:val="24"/>
          <w:highlight w:val="none"/>
          <w:lang w:val="en-US" w:eastAsia="zh-CN"/>
        </w:rPr>
        <w:t>件次。如果是采购方因科室需求主动报废，或是布类带有药渍、笔渍等常规洗涤洗不掉的顽固污渍</w:t>
      </w:r>
      <w:r>
        <w:rPr>
          <w:rFonts w:hint="eastAsia" w:ascii="方正仿宋_GBK" w:hAnsi="宋体" w:eastAsia="方正仿宋_GBK" w:cs="Times New Roman"/>
          <w:b w:val="0"/>
          <w:bCs w:val="0"/>
          <w:color w:val="auto"/>
          <w:sz w:val="24"/>
          <w:szCs w:val="24"/>
          <w:highlight w:val="none"/>
          <w:lang w:val="en-US" w:eastAsia="zh-CN"/>
        </w:rPr>
        <w:t>（需供应商应在洗涤前分拣发现，拍照留证）</w:t>
      </w:r>
      <w:r>
        <w:rPr>
          <w:rFonts w:hint="default" w:ascii="方正仿宋_GBK" w:hAnsi="宋体" w:eastAsia="方正仿宋_GBK" w:cs="Times New Roman"/>
          <w:b w:val="0"/>
          <w:bCs w:val="0"/>
          <w:color w:val="auto"/>
          <w:sz w:val="24"/>
          <w:szCs w:val="24"/>
          <w:highlight w:val="none"/>
          <w:lang w:val="en-US" w:eastAsia="zh-CN"/>
        </w:rPr>
        <w:t>，供应商无需承担赔偿责任</w:t>
      </w:r>
      <w:r>
        <w:rPr>
          <w:rFonts w:hint="eastAsia" w:ascii="方正仿宋_GBK" w:hAnsi="宋体" w:eastAsia="方正仿宋_GBK" w:cs="Times New Roman"/>
          <w:b w:val="0"/>
          <w:bCs w:val="0"/>
          <w:color w:val="auto"/>
          <w:sz w:val="24"/>
          <w:szCs w:val="24"/>
          <w:highlight w:val="none"/>
          <w:lang w:val="en-US" w:eastAsia="zh-CN"/>
        </w:rPr>
        <w:t>。</w:t>
      </w:r>
    </w:p>
    <w:p w14:paraId="64B926E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※（5）新生儿、婴儿的医用织物应专机洗涤、消毒，不应与其他医用织物混洗；手术室医用织物、医务人员织物（工作服、值班室织物）等应单独洗涤；地巾、布巾应单独洗涤、消毒。</w:t>
      </w:r>
    </w:p>
    <w:p w14:paraId="4618E887">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w:t>
      </w:r>
      <w:r>
        <w:rPr>
          <w:rFonts w:hint="eastAsia" w:ascii="方正仿宋_GBK" w:hAnsi="宋体" w:eastAsia="方正仿宋_GBK" w:cs="Times New Roman"/>
          <w:b/>
          <w:bCs/>
          <w:color w:val="auto"/>
          <w:sz w:val="24"/>
          <w:szCs w:val="24"/>
          <w:highlight w:val="none"/>
          <w:lang w:val="en-US" w:eastAsia="zh-CN"/>
        </w:rPr>
        <w:t>2.运送交接。</w:t>
      </w:r>
      <w:r>
        <w:rPr>
          <w:rFonts w:hint="eastAsia" w:ascii="方正仿宋_GBK" w:hAnsi="宋体" w:eastAsia="方正仿宋_GBK" w:cs="Times New Roman"/>
          <w:color w:val="auto"/>
          <w:sz w:val="24"/>
          <w:szCs w:val="24"/>
          <w:highlight w:val="none"/>
          <w:lang w:val="en-US" w:eastAsia="zh-CN"/>
        </w:rPr>
        <w:t>供应商与采购人制定工作人员每日接送时做好数量的清点、记录，双方签字确认。</w:t>
      </w:r>
    </w:p>
    <w:p w14:paraId="27C457C6">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b w:val="0"/>
          <w:bCs w:val="0"/>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w:t>
      </w:r>
      <w:r>
        <w:rPr>
          <w:rFonts w:hint="eastAsia" w:ascii="方正仿宋_GBK" w:hAnsi="宋体" w:eastAsia="方正仿宋_GBK" w:cs="Times New Roman"/>
          <w:b/>
          <w:bCs/>
          <w:color w:val="auto"/>
          <w:sz w:val="24"/>
          <w:szCs w:val="24"/>
          <w:highlight w:val="none"/>
          <w:lang w:val="en-US" w:eastAsia="zh-CN"/>
        </w:rPr>
        <w:t>3.运送时间。</w:t>
      </w:r>
      <w:r>
        <w:rPr>
          <w:rFonts w:hint="eastAsia" w:ascii="方正仿宋_GBK" w:hAnsi="宋体" w:eastAsia="方正仿宋_GBK" w:cs="Times New Roman"/>
          <w:b w:val="0"/>
          <w:bCs w:val="0"/>
          <w:color w:val="auto"/>
          <w:sz w:val="24"/>
          <w:szCs w:val="24"/>
          <w:highlight w:val="none"/>
          <w:lang w:val="en-US" w:eastAsia="zh-CN"/>
        </w:rPr>
        <w:t>供应商自行现场踏勘采购人每日需洗涤物品的数量和装卸货方式，</w:t>
      </w:r>
      <w:r>
        <w:rPr>
          <w:rFonts w:hint="eastAsia" w:ascii="方正仿宋_GBK" w:hAnsi="宋体" w:eastAsia="方正仿宋_GBK" w:cs="Times New Roman"/>
          <w:color w:val="auto"/>
          <w:sz w:val="24"/>
          <w:szCs w:val="24"/>
          <w:highlight w:val="none"/>
          <w:lang w:val="en-US" w:eastAsia="zh-CN"/>
        </w:rPr>
        <w:t>采购人指定装卸货地点为地下车库B区洗涤中心门口，车辆限高2米，供应商自行规划车辆型号、工人数量，在不影响采购人正常医疗、工作、交通环境的情况下，</w:t>
      </w:r>
      <w:r>
        <w:rPr>
          <w:rFonts w:hint="eastAsia" w:ascii="方正仿宋_GBK" w:hAnsi="宋体" w:eastAsia="方正仿宋_GBK" w:cs="Times New Roman"/>
          <w:b w:val="0"/>
          <w:bCs w:val="0"/>
          <w:color w:val="auto"/>
          <w:sz w:val="24"/>
          <w:szCs w:val="24"/>
          <w:highlight w:val="none"/>
          <w:lang w:val="en-US" w:eastAsia="zh-CN"/>
        </w:rPr>
        <w:t>每日15：00-17：00完成已洗涤</w:t>
      </w:r>
      <w:r>
        <w:rPr>
          <w:rFonts w:hint="eastAsia" w:ascii="方正仿宋_GBK" w:hAnsi="宋体" w:eastAsia="方正仿宋_GBK" w:cs="Times New Roman"/>
          <w:color w:val="auto"/>
          <w:sz w:val="24"/>
          <w:szCs w:val="24"/>
          <w:highlight w:val="none"/>
          <w:lang w:val="en-US" w:eastAsia="zh-CN"/>
        </w:rPr>
        <w:t>物品的分类、卸载，以及本次需洗涤物品的装车。</w:t>
      </w:r>
    </w:p>
    <w:p w14:paraId="294373D0">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default"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b/>
          <w:bCs/>
          <w:color w:val="auto"/>
          <w:sz w:val="24"/>
          <w:szCs w:val="24"/>
          <w:highlight w:val="none"/>
          <w:lang w:val="en-US" w:eastAsia="zh-CN"/>
        </w:rPr>
        <w:t>3.洗涤服务要求</w:t>
      </w:r>
    </w:p>
    <w:p w14:paraId="5009B3F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b w:val="0"/>
          <w:bCs w:val="0"/>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（1）成交供应商应有一定规模固定的洗涤场所且符合《医疗机构医用织物洗涤消毒技术标准》WS/T508-2025要求。污染区、清洁区分开；应有必备的洗涤设施设备进行分类洗涤消毒，宜选择卫生隔离式洗涤设备，</w:t>
      </w:r>
      <w:r>
        <w:rPr>
          <w:rFonts w:hint="eastAsia" w:ascii="方正仿宋_GBK" w:hAnsi="宋体" w:eastAsia="方正仿宋_GBK" w:cs="Times New Roman"/>
          <w:b w:val="0"/>
          <w:bCs w:val="0"/>
          <w:color w:val="auto"/>
          <w:sz w:val="24"/>
          <w:szCs w:val="24"/>
          <w:highlight w:val="none"/>
          <w:lang w:val="en-US" w:eastAsia="zh-CN"/>
        </w:rPr>
        <w:t>应设有办公区域(包括办公室、卫生间等)和工作区域。工作区域的建筑布局应符合下列要求：</w:t>
      </w:r>
    </w:p>
    <w:p w14:paraId="244CF9F3">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A)应独立设置，周围环境卫生、整洁。</w:t>
      </w:r>
    </w:p>
    <w:p w14:paraId="203E2790">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B)应设有工作人员、医用织物接收与发放的专用通道。</w:t>
      </w:r>
    </w:p>
    <w:p w14:paraId="2B18F219">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C)工作流程应由污到洁，不交叉、不逆行。</w:t>
      </w:r>
    </w:p>
    <w:p w14:paraId="5FC2078A">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D)分别设有污染区和清洁区,两区之间应有完全隔离屏障。清洁区内可设置部分隔离屏障。</w:t>
      </w:r>
    </w:p>
    <w:p w14:paraId="08264B0F">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E）污染区应设医用织物接收与分拣间、洗涤消毒间、污车存放处和更衣(缓冲)间等；清洁区应设烘干间,熨烫、修补、折叠间,储存与发放间、洁车存放处及更衣(缓冲)间等。</w:t>
      </w:r>
    </w:p>
    <w:p w14:paraId="7D763D72">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F)有条件的可在清洁区内设置质检室。</w:t>
      </w:r>
    </w:p>
    <w:p w14:paraId="23199496">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G)各区域及功能用房标识明确，通风、采光良好。</w:t>
      </w:r>
    </w:p>
    <w:p w14:paraId="23A27B91">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H)污染区及各更衣(缓冲)间设洗手设施，宜采用非手触式水龙头开关。</w:t>
      </w:r>
    </w:p>
    <w:p w14:paraId="3F23E2D3">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I)污染区应安装空气消毒设施。</w:t>
      </w:r>
    </w:p>
    <w:p w14:paraId="7961DD9A">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J)清洁区应清洁干燥。</w:t>
      </w:r>
    </w:p>
    <w:p w14:paraId="41516AB4">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K)室内地面、墙面和工作台面应坚固平整、不起尘,便于清洁,装饰材料防水、耐腐蚀。</w:t>
      </w:r>
    </w:p>
    <w:p w14:paraId="5C9F7E9A">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L)排水设施完善；有防蝇、防鼠等有害生物防制设施。</w:t>
      </w:r>
    </w:p>
    <w:p w14:paraId="250C6CD5">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2）运送医用织物的专用密封运输车（分别配置运送脏污织物和清洁织物的车辆，不得交叉使用）等，车辆使用后消毒并做好记录；成交供应商应在厂区配置监控系统，采购人有权随时调取监控查看、监管洗涤服务是否到达要求。</w:t>
      </w:r>
    </w:p>
    <w:p w14:paraId="20DCB6FD">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（3）按专业化的要求配置管理服务人员。有严格的管理措施，服务人员统一着装；有应对突发事件的处理机制和预案，包括组织机构、人员和具体措施等，一旦发生，能随时投入运行。</w:t>
      </w:r>
    </w:p>
    <w:p w14:paraId="120D55FD">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（4）应配置质量管理负责人和专职质检员，每日负责开展各项工序的自检、抽检，每月汇总后报采购人备案。</w:t>
      </w:r>
    </w:p>
    <w:p w14:paraId="41F65C37">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（5）成交供应商需制定相关制度及标准操作规程，进场时交采购人备案，包括但不限于</w:t>
      </w:r>
      <w:r>
        <w:rPr>
          <w:rFonts w:hint="eastAsia" w:ascii="方正仿宋_GBK" w:hAnsi="宋体" w:eastAsia="方正仿宋_GBK" w:cs="Times New Roman"/>
          <w:b w:val="0"/>
          <w:bCs w:val="0"/>
          <w:color w:val="auto"/>
          <w:sz w:val="24"/>
          <w:szCs w:val="24"/>
          <w:highlight w:val="none"/>
          <w:lang w:val="en-US" w:eastAsia="zh-CN"/>
        </w:rPr>
        <w:t>医用织物洗涤消毒工作流程、分类收集、洗涤消毒、卫生质量检测、清洁织物储存管理、安全操作、设备和环境卫生保洁以及从业人员岗位职责、职业防护等制度。</w:t>
      </w:r>
    </w:p>
    <w:p w14:paraId="1E511D25">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（6）</w:t>
      </w:r>
      <w:r>
        <w:rPr>
          <w:rFonts w:hint="eastAsia" w:ascii="方正仿宋_GBK" w:hAnsi="宋体" w:eastAsia="方正仿宋_GBK" w:cs="Times New Roman"/>
          <w:color w:val="auto"/>
          <w:sz w:val="24"/>
          <w:szCs w:val="24"/>
          <w:highlight w:val="none"/>
          <w:lang w:val="en-US" w:eastAsia="zh-TW"/>
        </w:rPr>
        <w:t>所有布类物品均需按照符合规范的高温洗涤</w:t>
      </w:r>
      <w:r>
        <w:rPr>
          <w:rFonts w:hint="eastAsia" w:ascii="方正仿宋_GBK" w:hAnsi="宋体" w:eastAsia="方正仿宋_GBK" w:cs="Times New Roman"/>
          <w:color w:val="auto"/>
          <w:sz w:val="24"/>
          <w:szCs w:val="24"/>
          <w:highlight w:val="none"/>
          <w:lang w:val="en-US" w:eastAsia="zh-CN"/>
        </w:rPr>
        <w:t>，</w:t>
      </w:r>
      <w:r>
        <w:rPr>
          <w:rFonts w:hint="eastAsia" w:ascii="方正仿宋_GBK" w:hAnsi="宋体" w:eastAsia="方正仿宋_GBK" w:cs="Times New Roman"/>
          <w:b w:val="0"/>
          <w:bCs w:val="0"/>
          <w:color w:val="auto"/>
          <w:sz w:val="24"/>
          <w:szCs w:val="24"/>
          <w:highlight w:val="none"/>
          <w:lang w:val="en-US" w:eastAsia="zh-CN"/>
        </w:rPr>
        <w:t>供应商提供所有洗涤设备的操作说明书或洗涤全流程证明材料，符合热力洗涤要求：消毒温度75℃，时间≥30min或消毒温度≥80℃，时间≥10min或A0值≥600，格式自拟，并加盖供应商公章。</w:t>
      </w:r>
    </w:p>
    <w:p w14:paraId="49F98A0E">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7）洗涤用品（含洗涤剂、消毒剂等）自行提供，要求必须符合国家与行业有关标准，准许使用于医用织物，采购人不再提供任何费用。中标后提供洗涤剂、消毒剂等产品明细、检测报告，格式自拟，并加盖供应商公章。</w:t>
      </w:r>
    </w:p>
    <w:p w14:paraId="64D9D763">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（8）配备必要的防护用品。指工作人员必须配置的个人防护用品（该产品符合国家有关管理规定）。如：帽子、口罩、手套、防水靴、工作服、防水围裙等防护用品。</w:t>
      </w:r>
    </w:p>
    <w:p w14:paraId="329F7EFC">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（9）成交供应商需提供优质的防护产品，同时将相关的产品质量合格的资质证明资料交采购人备案后才能使用。</w:t>
      </w:r>
    </w:p>
    <w:p w14:paraId="00845DA3">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b w:val="0"/>
          <w:bCs w:val="0"/>
          <w:color w:val="auto"/>
          <w:sz w:val="24"/>
          <w:szCs w:val="24"/>
          <w:highlight w:val="none"/>
          <w:lang w:val="en-US" w:eastAsia="zh-CN"/>
        </w:rPr>
        <w:t>（10）供应商须提供自身洗涤消毒及办公场所、设备的购置或租赁合同复印件，并加盖供应商公章。</w:t>
      </w:r>
    </w:p>
    <w:p w14:paraId="2BEF0DB7">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（11）污染织物与清洁织物严禁同车运送；在装卸的过程中，应与采购人当面在指定地点进行清点医院织物的数量及洗涤物品有无破损，双方核对无误签字后方能交接</w:t>
      </w:r>
      <w:r>
        <w:rPr>
          <w:rFonts w:hint="eastAsia" w:ascii="方正仿宋_GBK" w:hAnsi="宋体" w:eastAsia="方正仿宋_GBK" w:cs="Times New Roman"/>
          <w:b w:val="0"/>
          <w:bCs w:val="0"/>
          <w:color w:val="auto"/>
          <w:sz w:val="24"/>
          <w:szCs w:val="24"/>
          <w:highlight w:val="none"/>
          <w:lang w:val="en-US" w:eastAsia="zh-CN"/>
        </w:rPr>
        <w:t>（未当面交接，造成的医用织物丢失由成交供应商承担）。凡</w:t>
      </w:r>
      <w:r>
        <w:rPr>
          <w:rFonts w:hint="eastAsia" w:ascii="方正仿宋_GBK" w:hAnsi="宋体" w:eastAsia="方正仿宋_GBK" w:cs="Times New Roman"/>
          <w:color w:val="auto"/>
          <w:sz w:val="24"/>
          <w:szCs w:val="24"/>
          <w:highlight w:val="none"/>
          <w:lang w:val="en-US" w:eastAsia="zh-CN"/>
        </w:rPr>
        <w:t>因洗涤服务造成的遗失、损坏，成交供应商应按院方采购价给予赔偿</w:t>
      </w:r>
      <w:r>
        <w:rPr>
          <w:rFonts w:hint="eastAsia" w:ascii="方正仿宋_GBK" w:hAnsi="宋体" w:eastAsia="方正仿宋_GBK" w:cs="Times New Roman"/>
          <w:b/>
          <w:bCs/>
          <w:color w:val="auto"/>
          <w:sz w:val="24"/>
          <w:szCs w:val="24"/>
          <w:highlight w:val="none"/>
          <w:lang w:val="en-US" w:eastAsia="zh-CN"/>
        </w:rPr>
        <w:t>。</w:t>
      </w:r>
    </w:p>
    <w:p w14:paraId="1C18110E">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（12）供应商污染废物处置与管理符合《医疗废物管理条例》《医疗卫生机构医疗废物管理办法》的规定。</w:t>
      </w:r>
    </w:p>
    <w:p w14:paraId="5F618731">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（13）疫情期间严格按照国家疫情防控相关要求进行消毒，如遇国家有特殊防控要求，成交供应商需无条件配合医院完成，不另行增加费用。</w:t>
      </w:r>
    </w:p>
    <w:p w14:paraId="505FFB34">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14）成交供应商与服务工作人员建立合法有效的劳动关系，并严格按照法律规定以直接投保人的身份为服务工作人员缴纳社会保险（包括养老、医疗、工伤、生育、失业险等），保险费用均应考虑在报价内。服务工作人员基于劳动关系或劳务关系产生的一切债权债务（包括但不限于工资发放、保险福利、工伤赔偿等）均由成交供应商承担全部法律责任。</w:t>
      </w:r>
    </w:p>
    <w:p w14:paraId="6ADFEB62">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15）应急响应：成交供应商在接到采购人急需加洗医用织物电话时，应立即安排车辆接收并送达至成交供应商洗涤场所洗涤。对于有传染性的突发公共事件成交供应商因按照医院院感要求执行。采用单进单出式洗衣机洗涤。按照院感要求单独运输、洗涤。成交供应商应对因洗涤造成的不良后果负全责。为确保服务及时有效，成交供应商从其生产洗涤场所将洗好的清洁织物</w:t>
      </w:r>
      <w:r>
        <w:rPr>
          <w:rFonts w:hint="eastAsia" w:ascii="方正仿宋_GBK" w:hAnsi="宋体" w:eastAsia="方正仿宋_GBK" w:cs="Times New Roman"/>
          <w:b w:val="0"/>
          <w:bCs w:val="0"/>
          <w:color w:val="auto"/>
          <w:sz w:val="24"/>
          <w:szCs w:val="24"/>
          <w:highlight w:val="none"/>
          <w:lang w:val="en-US" w:eastAsia="zh-CN"/>
        </w:rPr>
        <w:t>在4小时内送回</w:t>
      </w:r>
      <w:r>
        <w:rPr>
          <w:rFonts w:hint="eastAsia" w:ascii="方正仿宋_GBK" w:hAnsi="宋体" w:eastAsia="方正仿宋_GBK" w:cs="Times New Roman"/>
          <w:color w:val="auto"/>
          <w:sz w:val="24"/>
          <w:szCs w:val="24"/>
          <w:highlight w:val="none"/>
          <w:lang w:val="en-US" w:eastAsia="zh-CN"/>
        </w:rPr>
        <w:t>。</w:t>
      </w:r>
    </w:p>
    <w:p w14:paraId="155282BE">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（16）供应商日接日送，采购人不提供周转库房。</w:t>
      </w:r>
    </w:p>
    <w:p w14:paraId="594A81ED">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（17）成交供应商管理人员更换应提前书面告知采购人，并做好工作交接。</w:t>
      </w:r>
    </w:p>
    <w:p w14:paraId="217C3171">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color w:val="auto"/>
          <w:sz w:val="24"/>
          <w:szCs w:val="24"/>
          <w:highlight w:val="none"/>
          <w:lang w:val="en-US" w:eastAsia="zh-CN"/>
        </w:rPr>
        <w:t>（18）采购人每月定期检验供应商洗涤完成的物品，如新生儿毛巾、浴巾化学残留指标等符合国家行业标准要求。</w:t>
      </w:r>
    </w:p>
    <w:p w14:paraId="732D6E1E">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eastAsia="方正仿宋_GBK"/>
          <w:color w:val="auto"/>
          <w:sz w:val="21"/>
          <w:szCs w:val="21"/>
          <w:highlight w:val="none"/>
          <w:lang w:eastAsia="zh-CN"/>
        </w:rPr>
        <w:t>（</w:t>
      </w:r>
      <w:r>
        <w:rPr>
          <w:rFonts w:hint="eastAsia" w:ascii="方正仿宋_GBK" w:eastAsia="方正仿宋_GBK"/>
          <w:color w:val="auto"/>
          <w:sz w:val="21"/>
          <w:szCs w:val="21"/>
          <w:highlight w:val="none"/>
          <w:lang w:val="en-US" w:eastAsia="zh-CN"/>
        </w:rPr>
        <w:t>19</w:t>
      </w:r>
      <w:r>
        <w:rPr>
          <w:rFonts w:hint="eastAsia" w:ascii="方正仿宋_GBK" w:eastAsia="方正仿宋_GBK"/>
          <w:color w:val="auto"/>
          <w:sz w:val="21"/>
          <w:szCs w:val="21"/>
          <w:highlight w:val="none"/>
          <w:lang w:eastAsia="zh-CN"/>
        </w:rPr>
        <w:t>）</w:t>
      </w:r>
      <w:r>
        <w:rPr>
          <w:rFonts w:hint="eastAsia" w:ascii="方正仿宋_GBK" w:hAnsi="宋体" w:eastAsia="方正仿宋_GBK" w:cs="Times New Roman"/>
          <w:color w:val="auto"/>
          <w:sz w:val="24"/>
          <w:szCs w:val="24"/>
          <w:highlight w:val="none"/>
          <w:lang w:val="en-US" w:eastAsia="zh-CN"/>
        </w:rPr>
        <w:t>供应商在本项目的工作</w:t>
      </w:r>
      <w:r>
        <w:rPr>
          <w:rFonts w:hint="default" w:ascii="方正仿宋_GBK" w:hAnsi="宋体" w:eastAsia="方正仿宋_GBK" w:cs="Times New Roman"/>
          <w:color w:val="auto"/>
          <w:sz w:val="24"/>
          <w:szCs w:val="24"/>
          <w:highlight w:val="none"/>
          <w:lang w:val="en-US" w:eastAsia="zh-CN"/>
        </w:rPr>
        <w:t>人员必须持有效健康证上岗；患有活动性肺结核、病毒性肝炎、肠道传染病、化脓性/渗出性皮肤病等人员不得从事本工作</w:t>
      </w:r>
      <w:r>
        <w:rPr>
          <w:rFonts w:hint="eastAsia" w:ascii="方正仿宋_GBK" w:hAnsi="宋体" w:eastAsia="方正仿宋_GBK" w:cs="Times New Roman"/>
          <w:color w:val="auto"/>
          <w:sz w:val="24"/>
          <w:szCs w:val="24"/>
          <w:highlight w:val="none"/>
          <w:lang w:val="en-US" w:eastAsia="zh-CN"/>
        </w:rPr>
        <w:t>。</w:t>
      </w:r>
    </w:p>
    <w:p w14:paraId="16A8D2B8">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b/>
          <w:bCs/>
          <w:color w:val="auto"/>
          <w:sz w:val="24"/>
          <w:szCs w:val="24"/>
          <w:highlight w:val="none"/>
          <w:lang w:val="en-US" w:eastAsia="zh-CN"/>
        </w:rPr>
        <w:t>五、其他要求</w:t>
      </w:r>
    </w:p>
    <w:p w14:paraId="4E2178A7">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b w:val="0"/>
          <w:bCs w:val="0"/>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b w:val="0"/>
          <w:bCs w:val="0"/>
          <w:color w:val="auto"/>
          <w:sz w:val="24"/>
          <w:szCs w:val="24"/>
          <w:highlight w:val="none"/>
          <w:lang w:val="en-US" w:eastAsia="zh-CN"/>
        </w:rPr>
        <w:t>1.成交供应商进场时向医院提供具有操作性的制度、流程、应急预案、岗位职责等，服务期间，成交供应商应按采购人要求及时提交培训、限时整改、等级医院评审、美丽医院建设及其他政策性指令任务等相关资料，如遇上级部门有相关的其他检查成交供应商应无条件配合完成相关资料。违反上述规定，采购人考核成交供应商500元/次/项。</w:t>
      </w:r>
    </w:p>
    <w:p w14:paraId="43964ABE">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b w:val="0"/>
          <w:bCs w:val="0"/>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b w:val="0"/>
          <w:bCs w:val="0"/>
          <w:color w:val="auto"/>
          <w:sz w:val="24"/>
          <w:szCs w:val="24"/>
          <w:highlight w:val="none"/>
          <w:lang w:val="en-US" w:eastAsia="zh-CN"/>
        </w:rPr>
        <w:t>2.疫情期间严格按照国家疫情防控相关要求进行工作，如遇有特殊防控要求，成交供应商需无条件配合医院完成，不另行增加费用。</w:t>
      </w:r>
    </w:p>
    <w:p w14:paraId="73D765EF">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b w:val="0"/>
          <w:bCs w:val="0"/>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b w:val="0"/>
          <w:bCs w:val="0"/>
          <w:color w:val="auto"/>
          <w:sz w:val="24"/>
          <w:szCs w:val="24"/>
          <w:highlight w:val="none"/>
          <w:lang w:val="en-US" w:eastAsia="zh-CN"/>
        </w:rPr>
        <w:t>3.成交供应商的工作人员在为医院服务期间，因疾病、工伤、意外伤害、疾病传染、劳动保护、职业病等所产生的一切费用，均由成交供应商自行负责。</w:t>
      </w:r>
    </w:p>
    <w:p w14:paraId="7A05307F">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b w:val="0"/>
          <w:bCs w:val="0"/>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b w:val="0"/>
          <w:bCs w:val="0"/>
          <w:color w:val="auto"/>
          <w:sz w:val="24"/>
          <w:szCs w:val="24"/>
          <w:highlight w:val="none"/>
          <w:lang w:val="en-US" w:eastAsia="zh-CN"/>
        </w:rPr>
        <w:t>4.成交供应商须提供排污许可证或排污登记回执复印件，并加盖供应商公章，应规范处置医疗废物、达标排放医疗废水，废物废水的处理符合相关法律法规要求。</w:t>
      </w:r>
      <w:bookmarkStart w:id="7" w:name="_Toc13555"/>
      <w:bookmarkStart w:id="8" w:name="_Toc12935"/>
      <w:bookmarkStart w:id="9" w:name="_Toc9966"/>
      <w:bookmarkStart w:id="10" w:name="_Toc65660342"/>
    </w:p>
    <w:p w14:paraId="60B65278">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b w:val="0"/>
          <w:bCs w:val="0"/>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b w:val="0"/>
          <w:bCs w:val="0"/>
          <w:color w:val="auto"/>
          <w:sz w:val="24"/>
          <w:szCs w:val="24"/>
          <w:highlight w:val="none"/>
          <w:lang w:val="en-US" w:eastAsia="zh-CN"/>
        </w:rPr>
        <w:t>5.洗涤记录、消毒记录、温度记录、检测记录、交接记录等供应商保存至少3年备查。</w:t>
      </w:r>
    </w:p>
    <w:p w14:paraId="2341E12B">
      <w:pPr>
        <w:keepNext w:val="0"/>
        <w:keepLines w:val="0"/>
        <w:pageBreakBefore w:val="0"/>
        <w:widowControl w:val="0"/>
        <w:kinsoku/>
        <w:wordWrap/>
        <w:overflowPunct/>
        <w:topLinePunct w:val="0"/>
        <w:autoSpaceDE/>
        <w:autoSpaceDN/>
        <w:bidi w:val="0"/>
        <w:adjustRightInd/>
        <w:snapToGrid w:val="0"/>
        <w:spacing w:line="400" w:lineRule="exact"/>
        <w:ind w:firstLine="420" w:firstLineChars="200"/>
        <w:textAlignment w:val="auto"/>
        <w:rPr>
          <w:rFonts w:hint="eastAsia" w:ascii="方正仿宋_GBK" w:hAnsi="宋体" w:eastAsia="方正仿宋_GBK" w:cs="Times New Roman"/>
          <w:b w:val="0"/>
          <w:bCs w:val="0"/>
          <w:color w:val="auto"/>
          <w:sz w:val="24"/>
          <w:szCs w:val="24"/>
          <w:highlight w:val="none"/>
          <w:lang w:val="en-US" w:eastAsia="zh-CN"/>
        </w:rPr>
      </w:pPr>
      <w:r>
        <w:rPr>
          <w:rFonts w:hint="eastAsia" w:ascii="方正仿宋_GBK" w:eastAsia="方正仿宋_GBK"/>
          <w:color w:val="auto"/>
          <w:sz w:val="21"/>
          <w:szCs w:val="21"/>
          <w:highlight w:val="none"/>
        </w:rPr>
        <w:t>▲</w:t>
      </w:r>
      <w:r>
        <w:rPr>
          <w:rFonts w:hint="eastAsia" w:ascii="方正仿宋_GBK" w:hAnsi="宋体" w:eastAsia="方正仿宋_GBK" w:cs="Times New Roman"/>
          <w:b w:val="0"/>
          <w:bCs w:val="0"/>
          <w:color w:val="auto"/>
          <w:sz w:val="24"/>
          <w:szCs w:val="24"/>
          <w:highlight w:val="none"/>
          <w:lang w:val="en-US" w:eastAsia="zh-CN"/>
        </w:rPr>
        <w:t>6.本项目禁止整体转包或部分分包给第三方。</w:t>
      </w:r>
    </w:p>
    <w:p w14:paraId="28220A17">
      <w:pPr>
        <w:pStyle w:val="3"/>
        <w:adjustRightInd w:val="0"/>
        <w:snapToGrid w:val="0"/>
        <w:spacing w:before="0" w:after="0" w:line="400" w:lineRule="exact"/>
        <w:ind w:firstLine="482" w:firstLineChars="200"/>
        <w:rPr>
          <w:rFonts w:ascii="方正仿宋_GBK" w:hAnsi="宋体" w:eastAsia="方正仿宋_GBK"/>
          <w:color w:val="auto"/>
          <w:sz w:val="24"/>
          <w:highlight w:val="none"/>
        </w:rPr>
      </w:pPr>
      <w:r>
        <w:rPr>
          <w:rFonts w:hint="eastAsia" w:ascii="方正仿宋_GBK" w:hAnsi="宋体" w:eastAsia="方正仿宋_GBK"/>
          <w:color w:val="auto"/>
          <w:sz w:val="24"/>
          <w:highlight w:val="none"/>
          <w:lang w:val="en-US" w:eastAsia="zh-CN"/>
        </w:rPr>
        <w:t>六</w:t>
      </w:r>
      <w:r>
        <w:rPr>
          <w:rFonts w:hint="eastAsia" w:ascii="方正仿宋_GBK" w:hAnsi="宋体" w:eastAsia="方正仿宋_GBK"/>
          <w:color w:val="auto"/>
          <w:sz w:val="24"/>
          <w:highlight w:val="none"/>
        </w:rPr>
        <w:t>、</w:t>
      </w:r>
      <w:r>
        <w:rPr>
          <w:rFonts w:hint="eastAsia" w:ascii="方正仿宋_GBK" w:hAnsi="宋体" w:eastAsia="方正仿宋_GBK"/>
          <w:color w:val="auto"/>
          <w:sz w:val="24"/>
          <w:highlight w:val="none"/>
          <w:lang w:eastAsia="zh-CN"/>
        </w:rPr>
        <w:t>服务</w:t>
      </w:r>
      <w:r>
        <w:rPr>
          <w:rFonts w:hint="eastAsia" w:ascii="方正仿宋_GBK" w:hAnsi="宋体" w:eastAsia="方正仿宋_GBK"/>
          <w:color w:val="auto"/>
          <w:sz w:val="24"/>
          <w:highlight w:val="none"/>
        </w:rPr>
        <w:t>时间、地点及验收方式</w:t>
      </w:r>
      <w:bookmarkEnd w:id="7"/>
      <w:bookmarkEnd w:id="8"/>
      <w:bookmarkEnd w:id="9"/>
      <w:bookmarkEnd w:id="10"/>
    </w:p>
    <w:p w14:paraId="62E1C4F7">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（一）服务时间</w:t>
      </w:r>
    </w:p>
    <w:p w14:paraId="7133466E">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自签订合同之日起服务</w:t>
      </w:r>
      <w:r>
        <w:rPr>
          <w:rFonts w:hint="eastAsia" w:ascii="方正仿宋_GBK" w:hAnsi="宋体" w:eastAsia="方正仿宋_GBK" w:cs="Times New Roman"/>
          <w:b w:val="0"/>
          <w:bCs w:val="0"/>
          <w:color w:val="auto"/>
          <w:sz w:val="24"/>
          <w:szCs w:val="24"/>
          <w:highlight w:val="none"/>
          <w:lang w:val="en-US" w:eastAsia="zh-CN"/>
        </w:rPr>
        <w:t>期限1年。</w:t>
      </w:r>
    </w:p>
    <w:p w14:paraId="6BAAFFC9">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（二）服务地点</w:t>
      </w:r>
    </w:p>
    <w:p w14:paraId="5DD9B2C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采购人指定地点。</w:t>
      </w:r>
    </w:p>
    <w:p w14:paraId="36B37C4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（三）履约验收方案</w:t>
      </w:r>
    </w:p>
    <w:p w14:paraId="78E78C47">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1、履约验收主体：由采购人自行验收。</w:t>
      </w:r>
    </w:p>
    <w:p w14:paraId="39D92F4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2、履约验收时间：每月</w:t>
      </w:r>
    </w:p>
    <w:p w14:paraId="177A1DB8">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3、履约验收方式及程序</w:t>
      </w:r>
    </w:p>
    <w:p w14:paraId="106F7BE1">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采购人每月对其服务情况等进行考核，并做出考核记录。</w:t>
      </w:r>
    </w:p>
    <w:p w14:paraId="15EB9DD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b/>
          <w:bCs/>
          <w:color w:val="auto"/>
          <w:sz w:val="24"/>
          <w:szCs w:val="24"/>
          <w:highlight w:val="none"/>
          <w:lang w:eastAsia="zh-CN"/>
        </w:rPr>
      </w:pPr>
      <w:r>
        <w:rPr>
          <w:rFonts w:hint="eastAsia" w:ascii="方正仿宋_GBK" w:hAnsi="宋体" w:eastAsia="方正仿宋_GBK" w:cs="Times New Roman"/>
          <w:color w:val="auto"/>
          <w:sz w:val="24"/>
          <w:szCs w:val="24"/>
          <w:highlight w:val="none"/>
          <w:lang w:val="en-US" w:eastAsia="zh-CN"/>
        </w:rPr>
        <w:t>4、履约验收内容</w:t>
      </w:r>
    </w:p>
    <w:p w14:paraId="660DC55B">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b/>
          <w:bCs/>
          <w:color w:val="auto"/>
          <w:sz w:val="24"/>
          <w:szCs w:val="24"/>
          <w:highlight w:val="none"/>
          <w:lang w:eastAsia="zh-CN"/>
        </w:rPr>
        <w:t>（</w:t>
      </w:r>
      <w:r>
        <w:rPr>
          <w:rFonts w:hint="eastAsia" w:ascii="方正仿宋_GBK" w:hAnsi="宋体" w:eastAsia="方正仿宋_GBK"/>
          <w:b/>
          <w:bCs/>
          <w:color w:val="auto"/>
          <w:sz w:val="24"/>
          <w:szCs w:val="24"/>
          <w:highlight w:val="none"/>
          <w:lang w:val="en-US" w:eastAsia="zh-CN"/>
        </w:rPr>
        <w:t>1）</w:t>
      </w:r>
      <w:r>
        <w:rPr>
          <w:rFonts w:hint="eastAsia" w:ascii="方正仿宋_GBK" w:hAnsi="宋体" w:eastAsia="方正仿宋_GBK"/>
          <w:b/>
          <w:bCs/>
          <w:color w:val="auto"/>
          <w:sz w:val="24"/>
          <w:szCs w:val="24"/>
          <w:highlight w:val="none"/>
        </w:rPr>
        <w:t>洗涤服务质量标准</w:t>
      </w:r>
    </w:p>
    <w:p w14:paraId="5A7F0A7A">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成交供应商应遵守《医疗机构医用织物洗涤消毒技术标准》WS/T508-2025的相关规定，出具符合WS/T508-2025《医院医用织物洗涤消毒技术规范》中第7.1.3条微生物指标要求或WS/T508-2025《医疗机构医用织物洗涤消毒技术标准》中第7.1.3条微生物指标要求，具体检测方法参照附录B.2（清洁织物采样及相关指标检测方法）执行的洗涤成品合格检测报告。检测品名包括医用床单、医用被套、医用包布、医用工作服</w:t>
      </w:r>
      <w:bookmarkStart w:id="11" w:name="_GoBack"/>
      <w:bookmarkEnd w:id="11"/>
      <w:r>
        <w:rPr>
          <w:rFonts w:hint="eastAsia" w:ascii="方正仿宋_GBK" w:hAnsi="宋体" w:eastAsia="方正仿宋_GBK" w:cs="Times New Roman"/>
          <w:color w:val="auto"/>
          <w:sz w:val="24"/>
          <w:szCs w:val="24"/>
          <w:highlight w:val="none"/>
          <w:lang w:val="en-US" w:eastAsia="zh-CN"/>
        </w:rPr>
        <w:t>、病员服等医用织物。检测报告涵盖以下三个指标：细菌菌落总数、大肠菌群、金黄色葡萄球菌，以上三项微生物指标检测结果均须满足标准限值要求，全部合格。对所承接的医用织物进行洗涤消毒，采购人有权对洗涤场地或洗涤流程进行抽查，洗涤流程需符合医院感染管理相关规定，严禁医院的医用织物与宾馆酒店等布类物品混合洗涤，抽查时采购人发现考核成交供应商1000元/次，每季度如发现3次及以上，另扣当月洗涤费5%。成交供应商应立即限期整改，并承担此事件造成的一切后果及经济赔偿；如未及时整改，采购人有权随时解除合同。</w:t>
      </w:r>
    </w:p>
    <w:p w14:paraId="48D77577">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2）采购人随时抽查洗涤质量，经洗涤后送回的洗涤物品干净、整洁、无异味、无异物，采购人发现一次不符合考核成交供应商50元/次/件，每月超过30件次级以上情形采购人有权再扣除当月洗涤服务费的3%。</w:t>
      </w:r>
    </w:p>
    <w:p w14:paraId="5C891BB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3）成交供应商洗涤后送回的医用织物无串色、染花，若出现上述情况照医院采购价进行赔偿。</w:t>
      </w:r>
    </w:p>
    <w:p w14:paraId="24EB0A74">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4）成交供应商洗涤后送回的医用织物纽扣、系带、拉链和橡筋等损坏及时缝补（缝补美观，不影响使用），未缝补或经缝补后影响使用的考核50元/次/件，一月发生以上情形超过30件，医院有权再扣除当月医院总洗涤服务费的3%。</w:t>
      </w:r>
    </w:p>
    <w:p w14:paraId="61533AD8">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5）所有洗涤物品成交供应商应按规定时间进行洗涤后送回，未在采购人要求工作时间完成洗涤送回，采购人考核成交供应商100元/次，每月累计超过3次，扣当月洗涤费2%。如遇采购人需应急清洗的情况，成交供应商应在采购人合理要求的时间内完成，有超时或推诿或拒绝，采购人考核成交供应商1000元/次，未在规定的要求内完成应急清洗，成交供应商并承担此事件造成的一切后果及经济赔偿。</w:t>
      </w:r>
    </w:p>
    <w:p w14:paraId="0CC3850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6）洗涤后的洗涤物品检测必须符合国家标准，采购人自行检测，检测内容包含：细菌总数、大肠菌数、葡萄球菌数、真菌、沙门氏菌、PH值，监测结果符合院感标准，若出现一次不合格，采购人考核成交供应商5000元/次，成交供应商并承担此事件造成的一切后果及经济赔偿，采购人有权解除合同。</w:t>
      </w:r>
    </w:p>
    <w:p w14:paraId="4FC6165B">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7）洗涤后的洗涤物品数量无差错，若造成丢失、无故损坏，或</w:t>
      </w:r>
      <w:r>
        <w:rPr>
          <w:rFonts w:hint="default" w:ascii="方正仿宋_GBK" w:hAnsi="宋体" w:eastAsia="方正仿宋_GBK" w:cs="Times New Roman"/>
          <w:b w:val="0"/>
          <w:bCs w:val="0"/>
          <w:color w:val="auto"/>
          <w:sz w:val="24"/>
          <w:szCs w:val="24"/>
          <w:highlight w:val="none"/>
          <w:lang w:val="en-US" w:eastAsia="zh-CN"/>
        </w:rPr>
        <w:t>每月</w:t>
      </w:r>
      <w:r>
        <w:rPr>
          <w:rFonts w:hint="eastAsia" w:ascii="方正仿宋_GBK" w:hAnsi="宋体" w:eastAsia="方正仿宋_GBK" w:cs="Times New Roman"/>
          <w:b w:val="0"/>
          <w:bCs w:val="0"/>
          <w:color w:val="auto"/>
          <w:sz w:val="24"/>
          <w:szCs w:val="24"/>
          <w:highlight w:val="none"/>
          <w:lang w:val="en-US" w:eastAsia="zh-CN"/>
        </w:rPr>
        <w:t>正常报废超过200</w:t>
      </w:r>
      <w:r>
        <w:rPr>
          <w:rFonts w:hint="default" w:ascii="方正仿宋_GBK" w:hAnsi="宋体" w:eastAsia="方正仿宋_GBK" w:cs="Times New Roman"/>
          <w:b w:val="0"/>
          <w:bCs w:val="0"/>
          <w:color w:val="auto"/>
          <w:sz w:val="24"/>
          <w:szCs w:val="24"/>
          <w:highlight w:val="none"/>
          <w:lang w:val="en-US" w:eastAsia="zh-CN"/>
        </w:rPr>
        <w:t>件次</w:t>
      </w:r>
      <w:r>
        <w:rPr>
          <w:rFonts w:hint="eastAsia" w:ascii="方正仿宋_GBK" w:hAnsi="宋体" w:eastAsia="方正仿宋_GBK" w:cs="Times New Roman"/>
          <w:b w:val="0"/>
          <w:bCs w:val="0"/>
          <w:color w:val="auto"/>
          <w:sz w:val="24"/>
          <w:szCs w:val="24"/>
          <w:highlight w:val="none"/>
          <w:lang w:val="en-US" w:eastAsia="zh-CN"/>
        </w:rPr>
        <w:t>及以上，</w:t>
      </w:r>
      <w:r>
        <w:rPr>
          <w:rFonts w:hint="eastAsia" w:ascii="方正仿宋_GBK" w:hAnsi="宋体" w:eastAsia="方正仿宋_GBK" w:cs="Times New Roman"/>
          <w:color w:val="auto"/>
          <w:sz w:val="24"/>
          <w:szCs w:val="24"/>
          <w:highlight w:val="none"/>
          <w:lang w:val="en-US" w:eastAsia="zh-CN"/>
        </w:rPr>
        <w:t>应在合理时间内完成赔偿，赔偿为丢失、损坏、或超量报废洗涤物品的同品牌、同型号、同质量物品，逾期者，采购人考核成交供应商5元/件/月。</w:t>
      </w:r>
    </w:p>
    <w:p w14:paraId="49D0548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8）医院有权对洗涤及收送全过程进行监督检查，成交供应商需严格执行《医疗机构医用织物洗涤消毒技术标准》WS/T508-2025，具体细则详见附件。如成交供应商违反《医疗机构医用织物洗涤消毒技术标准》WS/T508-2025相关规定，成交供应商为此承担此事件造成的一切后果及经济赔偿，采购人有权解除合同。</w:t>
      </w:r>
    </w:p>
    <w:p w14:paraId="4684C4AA">
      <w:pPr>
        <w:keepNext w:val="0"/>
        <w:keepLines w:val="0"/>
        <w:pageBreakBefore w:val="0"/>
        <w:widowControl w:val="0"/>
        <w:numPr>
          <w:ilvl w:val="0"/>
          <w:numId w:val="1"/>
        </w:numPr>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遇停水、停电、停气等突发事件，导致不能在规定的时间内将洗涤物品送回，成交供应商应立即以电话、书面的形式通知采购人，并将解决方案一并告知采购人。如因此影响采购人正常的医疗工作及秩序，成交供应商承承担由此引起的一切后果（包括民事责任、刑事责任）。</w:t>
      </w:r>
    </w:p>
    <w:p w14:paraId="2ABDC48F">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10）所有运输的洗涤物品，成交供应商应采取防损防盗的保护措施，因保护不当引起的物品损坏和丢失，成交供应商应承担全部赔偿责任，照采购人采购价赔偿。</w:t>
      </w:r>
    </w:p>
    <w:p w14:paraId="57D6A843">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11）成交供应商提供的运输工具应干燥、清洁、防潮、防尘，避免二次污染。若因运输工具造成洗涤后的物品受潮、弄脏等，成交供应商无条件重洗，每月如发生3次以上，采购人考核成交供应商当月洗涤费10%，如因此影响采购人正常的医疗工作及秩序，成交供应商承承担由此引起的一切后果（包括民事责任、刑事责任）。</w:t>
      </w:r>
    </w:p>
    <w:p w14:paraId="70176929">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12）成交供应商应分别配置运送使用医用织物和清洁织物的专用密闭运输车辆，不得交叉使用。若发现有洁污车辆交叉使用情形，采购人考核成交供应商1000元/次，并承担由此引起的一切后果（包括民事责任、刑事责任）。</w:t>
      </w:r>
    </w:p>
    <w:p w14:paraId="0DEF37F2">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13）洗涤场所的洗手设施设备符合院感要求。不符合采购人考核成交供应商500元/次。</w:t>
      </w:r>
    </w:p>
    <w:p w14:paraId="26161B26">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14）对有传染性织物及感染性织物应单独浸泡、单独洗涤，严禁混洗。未单独浸泡或浸泡浓度不符合要求或混洗的，采购人考核成交供应商1000元/次/项。</w:t>
      </w:r>
    </w:p>
    <w:p w14:paraId="0656960F">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15）成交供应商需针对院感风险进行自查，采购人不定期进行抽查，成交供应商的自查内容需有记录并报采购人备案，院感风险的检查内容有：转运车消毒记录；消毒剂名称及消毒剂浓度监测记录；是否按标准规程操作；公司员工个人防护装备使用是否符合要求等，以上各项不符合要求，采购人考核成交供应商200元/次/处。</w:t>
      </w:r>
    </w:p>
    <w:p w14:paraId="140CDBA4">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16）成交供应商不能满足采购人工作要求，采购人3次及以上要求限期整改仍不到位时，采购人有权解除合同。</w:t>
      </w:r>
    </w:p>
    <w:p w14:paraId="00D74452">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17）成交供应商在医院内的收送人员应着统一工作服、佩戴工牌，未执行者，采购人考核成交供应商50元/人/次。</w:t>
      </w:r>
    </w:p>
    <w:p w14:paraId="72DE1658">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default"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18）连续三个月被采购人每月考核上述要求3项及以上的，采购人有权终止洗涤服务合同。</w:t>
      </w:r>
    </w:p>
    <w:p w14:paraId="5CEAA032">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5、履约验收标准</w:t>
      </w:r>
    </w:p>
    <w:p w14:paraId="3E9A5300">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符合国家以及采购人相关验收标准，供应商以及采购人共同提供相关资料进行验收。</w:t>
      </w:r>
    </w:p>
    <w:p w14:paraId="6B74B414">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6、若验收不合格需要整改的，供应商需无偿整改直至合格。</w:t>
      </w:r>
    </w:p>
    <w:p w14:paraId="76352AFE">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7、供应商提供的服务未达到要求的，且对采购人造成损失的，由供应商承担一切责任，并赔偿所造成的损失。</w:t>
      </w:r>
    </w:p>
    <w:p w14:paraId="126A2BDC">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b/>
          <w:bCs/>
          <w:color w:val="auto"/>
          <w:sz w:val="24"/>
          <w:szCs w:val="24"/>
          <w:highlight w:val="none"/>
          <w:lang w:val="en-US" w:eastAsia="zh-CN"/>
        </w:rPr>
        <w:t>七、付款方式</w:t>
      </w:r>
    </w:p>
    <w:p w14:paraId="1B6D63F5">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1、合同签订前成交供应商向采购人缴纳预算金额3%履约保证金；合同履行期间，采购人将对供应商现场进行实地考察，考察结果与供应商响应文件、采购合同等相关资料不符的，取消其成交资格，履约保证金不予退还。</w:t>
      </w:r>
    </w:p>
    <w:p w14:paraId="7A371459">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2、支付方式：本项目洗涤服务费均采用按月支付方式。工作满一月后，采购人按照合同约定对成交供应商工作进行考核。成交供应商提供：采购人签字确认的考核表、</w:t>
      </w:r>
      <w:r>
        <w:rPr>
          <w:rFonts w:hint="default" w:ascii="Times New Roman" w:hAnsi="Times New Roman" w:eastAsia="方正仿宋_GB2312" w:cs="Times New Roman"/>
          <w:b w:val="0"/>
          <w:bCs w:val="0"/>
          <w:color w:val="auto"/>
          <w:sz w:val="24"/>
          <w:szCs w:val="24"/>
          <w:highlight w:val="none"/>
          <w:lang w:val="en-US" w:eastAsia="zh-CN"/>
        </w:rPr>
        <w:t>申请支付金额的正式发票、</w:t>
      </w:r>
      <w:r>
        <w:rPr>
          <w:rFonts w:hint="eastAsia" w:eastAsia="方正仿宋_GB2312" w:cs="Times New Roman"/>
          <w:b w:val="0"/>
          <w:bCs w:val="0"/>
          <w:color w:val="auto"/>
          <w:sz w:val="24"/>
          <w:szCs w:val="24"/>
          <w:highlight w:val="none"/>
          <w:lang w:val="en-US" w:eastAsia="zh-CN"/>
        </w:rPr>
        <w:t>供应商</w:t>
      </w:r>
      <w:r>
        <w:rPr>
          <w:rFonts w:hint="default" w:ascii="Times New Roman" w:hAnsi="Times New Roman" w:eastAsia="方正仿宋_GB2312" w:cs="Times New Roman"/>
          <w:b w:val="0"/>
          <w:bCs w:val="0"/>
          <w:color w:val="auto"/>
          <w:sz w:val="24"/>
          <w:szCs w:val="24"/>
          <w:highlight w:val="none"/>
          <w:lang w:val="en-US" w:eastAsia="zh-CN"/>
        </w:rPr>
        <w:t>的银行收款信息等，</w:t>
      </w:r>
      <w:r>
        <w:rPr>
          <w:rFonts w:hint="eastAsia" w:ascii="Times New Roman" w:hAnsi="Times New Roman" w:eastAsia="方正仿宋_GB2312" w:cs="Times New Roman"/>
          <w:b w:val="0"/>
          <w:bCs w:val="0"/>
          <w:color w:val="auto"/>
          <w:sz w:val="24"/>
          <w:szCs w:val="24"/>
          <w:highlight w:val="none"/>
          <w:lang w:val="en-US" w:eastAsia="zh-CN"/>
        </w:rPr>
        <w:t>采购人</w:t>
      </w:r>
      <w:r>
        <w:rPr>
          <w:rFonts w:hint="default" w:ascii="Times New Roman" w:hAnsi="Times New Roman" w:eastAsia="方正仿宋_GB2312" w:cs="Times New Roman"/>
          <w:b w:val="0"/>
          <w:bCs w:val="0"/>
          <w:color w:val="auto"/>
          <w:sz w:val="24"/>
          <w:szCs w:val="24"/>
          <w:highlight w:val="none"/>
          <w:lang w:val="en-US" w:eastAsia="zh-CN"/>
        </w:rPr>
        <w:t>于收到发票后通过转账的方式支付</w:t>
      </w:r>
      <w:r>
        <w:rPr>
          <w:rFonts w:hint="eastAsia" w:ascii="Times New Roman" w:hAnsi="Times New Roman" w:eastAsia="方正仿宋_GB2312" w:cs="Times New Roman"/>
          <w:b w:val="0"/>
          <w:bCs w:val="0"/>
          <w:color w:val="auto"/>
          <w:sz w:val="24"/>
          <w:szCs w:val="24"/>
          <w:highlight w:val="none"/>
          <w:lang w:val="en-US" w:eastAsia="zh-CN"/>
        </w:rPr>
        <w:t>供应商</w:t>
      </w:r>
      <w:r>
        <w:rPr>
          <w:rFonts w:hint="default" w:ascii="Times New Roman" w:hAnsi="Times New Roman" w:eastAsia="方正仿宋_GB2312" w:cs="Times New Roman"/>
          <w:b w:val="0"/>
          <w:bCs w:val="0"/>
          <w:color w:val="auto"/>
          <w:sz w:val="24"/>
          <w:szCs w:val="24"/>
          <w:highlight w:val="none"/>
          <w:lang w:val="en-US" w:eastAsia="zh-CN"/>
        </w:rPr>
        <w:t>上月合同款。</w:t>
      </w:r>
    </w:p>
    <w:p w14:paraId="1F3F2A86">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3、履约保证金无息退还时间：服务合同截止成交供应商履约完毕后后退还，若服务期间存在严重违约行为或单方面终止合同，履约保证金不予退还。</w:t>
      </w:r>
    </w:p>
    <w:p w14:paraId="7C7530F3">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b/>
          <w:bCs/>
          <w:color w:val="auto"/>
          <w:sz w:val="24"/>
          <w:szCs w:val="24"/>
          <w:highlight w:val="none"/>
          <w:lang w:val="en-US" w:eastAsia="zh-CN"/>
        </w:rPr>
        <w:t>八、知识产权</w:t>
      </w:r>
    </w:p>
    <w:p w14:paraId="23FD6D09">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4C9C1A2">
      <w:pPr>
        <w:keepNext w:val="0"/>
        <w:keepLines w:val="0"/>
        <w:pageBreakBefore w:val="0"/>
        <w:widowControl w:val="0"/>
        <w:kinsoku/>
        <w:wordWrap/>
        <w:overflowPunct/>
        <w:topLinePunct w:val="0"/>
        <w:autoSpaceDE/>
        <w:autoSpaceDN/>
        <w:bidi w:val="0"/>
        <w:adjustRightInd/>
        <w:snapToGrid w:val="0"/>
        <w:spacing w:line="400" w:lineRule="exact"/>
        <w:ind w:firstLine="482"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b/>
          <w:bCs/>
          <w:color w:val="auto"/>
          <w:sz w:val="24"/>
          <w:szCs w:val="24"/>
          <w:highlight w:val="none"/>
          <w:lang w:val="en-US" w:eastAsia="zh-CN"/>
        </w:rPr>
        <w:t>九、其他</w:t>
      </w:r>
    </w:p>
    <w:p w14:paraId="2CD8A348">
      <w:pPr>
        <w:keepNext w:val="0"/>
        <w:keepLines w:val="0"/>
        <w:pageBreakBefore w:val="0"/>
        <w:widowControl w:val="0"/>
        <w:kinsoku/>
        <w:wordWrap/>
        <w:overflowPunct/>
        <w:topLinePunct w:val="0"/>
        <w:autoSpaceDE/>
        <w:autoSpaceDN/>
        <w:bidi w:val="0"/>
        <w:adjustRightInd/>
        <w:snapToGrid w:val="0"/>
        <w:spacing w:line="400" w:lineRule="exact"/>
        <w:ind w:firstLine="480"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color w:val="auto"/>
          <w:sz w:val="24"/>
          <w:szCs w:val="24"/>
          <w:highlight w:val="none"/>
          <w:lang w:val="en-US" w:eastAsia="zh-CN"/>
        </w:rPr>
        <w:t>其他未尽事宜由供需双方在采购合同中详细约定。</w:t>
      </w:r>
    </w:p>
    <w:p w14:paraId="253B7FBA">
      <w:pPr>
        <w:keepNext w:val="0"/>
        <w:keepLines w:val="0"/>
        <w:pageBreakBefore w:val="0"/>
        <w:widowControl w:val="0"/>
        <w:numPr>
          <w:ilvl w:val="0"/>
          <w:numId w:val="2"/>
        </w:numPr>
        <w:kinsoku/>
        <w:wordWrap/>
        <w:overflowPunct/>
        <w:topLinePunct w:val="0"/>
        <w:autoSpaceDE/>
        <w:autoSpaceDN/>
        <w:bidi w:val="0"/>
        <w:adjustRightInd/>
        <w:snapToGrid w:val="0"/>
        <w:spacing w:line="400" w:lineRule="exact"/>
        <w:ind w:firstLine="482" w:firstLineChars="200"/>
        <w:textAlignment w:val="auto"/>
        <w:rPr>
          <w:rFonts w:hint="eastAsia" w:ascii="方正仿宋_GBK" w:hAnsi="宋体" w:eastAsia="方正仿宋_GBK" w:cs="Times New Roman"/>
          <w:b/>
          <w:bCs/>
          <w:color w:val="auto"/>
          <w:sz w:val="24"/>
          <w:szCs w:val="24"/>
          <w:highlight w:val="none"/>
          <w:lang w:val="en-US" w:eastAsia="zh-CN"/>
        </w:rPr>
      </w:pPr>
      <w:r>
        <w:rPr>
          <w:rFonts w:hint="eastAsia" w:ascii="方正仿宋_GBK" w:hAnsi="宋体" w:eastAsia="方正仿宋_GBK" w:cs="Times New Roman"/>
          <w:b/>
          <w:bCs/>
          <w:color w:val="auto"/>
          <w:sz w:val="24"/>
          <w:szCs w:val="24"/>
          <w:highlight w:val="none"/>
          <w:lang w:val="en-US" w:eastAsia="zh-CN"/>
        </w:rPr>
        <w:t>评分方式</w:t>
      </w:r>
    </w:p>
    <w:p w14:paraId="4FD10BAF">
      <w:pPr>
        <w:keepNext w:val="0"/>
        <w:keepLines w:val="0"/>
        <w:pageBreakBefore w:val="0"/>
        <w:widowControl w:val="0"/>
        <w:numPr>
          <w:ilvl w:val="0"/>
          <w:numId w:val="0"/>
        </w:numPr>
        <w:kinsoku/>
        <w:wordWrap/>
        <w:overflowPunct/>
        <w:topLinePunct w:val="0"/>
        <w:autoSpaceDE/>
        <w:autoSpaceDN/>
        <w:bidi w:val="0"/>
        <w:adjustRightInd/>
        <w:snapToGrid w:val="0"/>
        <w:spacing w:line="400" w:lineRule="exact"/>
        <w:jc w:val="both"/>
        <w:textAlignment w:val="auto"/>
        <w:rPr>
          <w:rFonts w:hint="default" w:ascii="方正仿宋_GBK" w:hAnsi="宋体" w:eastAsia="方正仿宋_GBK" w:cs="Times New Roman"/>
          <w:b/>
          <w:bCs/>
          <w:color w:val="auto"/>
          <w:sz w:val="24"/>
          <w:szCs w:val="24"/>
          <w:highlight w:val="none"/>
          <w:lang w:val="en-US" w:eastAsia="zh-CN"/>
        </w:rPr>
      </w:pPr>
    </w:p>
    <w:tbl>
      <w:tblPr>
        <w:tblStyle w:val="6"/>
        <w:tblW w:w="477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426"/>
        <w:gridCol w:w="986"/>
        <w:gridCol w:w="454"/>
        <w:gridCol w:w="4022"/>
        <w:gridCol w:w="1823"/>
      </w:tblGrid>
      <w:tr w14:paraId="57EC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 w:type="pct"/>
            <w:noWrap w:val="0"/>
            <w:vAlign w:val="center"/>
          </w:tcPr>
          <w:p w14:paraId="17BCBFCB">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序号</w:t>
            </w:r>
          </w:p>
        </w:tc>
        <w:tc>
          <w:tcPr>
            <w:tcW w:w="867" w:type="pct"/>
            <w:gridSpan w:val="2"/>
            <w:noWrap w:val="0"/>
            <w:vAlign w:val="center"/>
          </w:tcPr>
          <w:p w14:paraId="2CA0ECB7">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评分因素</w:t>
            </w:r>
          </w:p>
          <w:p w14:paraId="4003C256">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及权重</w:t>
            </w:r>
          </w:p>
        </w:tc>
        <w:tc>
          <w:tcPr>
            <w:tcW w:w="277" w:type="pct"/>
            <w:noWrap w:val="0"/>
            <w:vAlign w:val="center"/>
          </w:tcPr>
          <w:p w14:paraId="5384BE91">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分值</w:t>
            </w:r>
          </w:p>
        </w:tc>
        <w:tc>
          <w:tcPr>
            <w:tcW w:w="2472" w:type="pct"/>
            <w:noWrap w:val="0"/>
            <w:vAlign w:val="center"/>
          </w:tcPr>
          <w:p w14:paraId="2B0CD9BD">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评分标准</w:t>
            </w:r>
          </w:p>
        </w:tc>
        <w:tc>
          <w:tcPr>
            <w:tcW w:w="1120" w:type="pct"/>
            <w:noWrap w:val="0"/>
            <w:vAlign w:val="center"/>
          </w:tcPr>
          <w:p w14:paraId="5E370B9D">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说明</w:t>
            </w:r>
          </w:p>
        </w:tc>
      </w:tr>
      <w:tr w14:paraId="3ACC8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 w:type="pct"/>
            <w:noWrap w:val="0"/>
            <w:vAlign w:val="center"/>
          </w:tcPr>
          <w:p w14:paraId="3C58D495">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1</w:t>
            </w:r>
          </w:p>
        </w:tc>
        <w:tc>
          <w:tcPr>
            <w:tcW w:w="867" w:type="pct"/>
            <w:gridSpan w:val="2"/>
            <w:noWrap w:val="0"/>
            <w:vAlign w:val="center"/>
          </w:tcPr>
          <w:p w14:paraId="55CC8D3F">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投标报价</w:t>
            </w:r>
          </w:p>
          <w:p w14:paraId="54BEEF90">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w:t>
            </w:r>
            <w:r>
              <w:rPr>
                <w:rFonts w:hint="eastAsia" w:ascii="方正仿宋_GBK" w:eastAsia="方正仿宋_GBK"/>
                <w:color w:val="auto"/>
                <w:sz w:val="21"/>
                <w:szCs w:val="21"/>
                <w:highlight w:val="none"/>
                <w:lang w:val="en-US" w:eastAsia="zh-CN"/>
              </w:rPr>
              <w:t>30</w:t>
            </w:r>
            <w:r>
              <w:rPr>
                <w:rFonts w:hint="eastAsia" w:ascii="方正仿宋_GBK" w:eastAsia="方正仿宋_GBK"/>
                <w:color w:val="auto"/>
                <w:sz w:val="21"/>
                <w:szCs w:val="21"/>
                <w:highlight w:val="none"/>
              </w:rPr>
              <w:t>%）</w:t>
            </w:r>
          </w:p>
        </w:tc>
        <w:tc>
          <w:tcPr>
            <w:tcW w:w="277" w:type="pct"/>
            <w:noWrap w:val="0"/>
            <w:vAlign w:val="center"/>
          </w:tcPr>
          <w:p w14:paraId="5CDCB326">
            <w:pPr>
              <w:spacing w:line="280" w:lineRule="exact"/>
              <w:jc w:val="center"/>
              <w:rPr>
                <w:rFonts w:hint="default"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30</w:t>
            </w:r>
          </w:p>
        </w:tc>
        <w:tc>
          <w:tcPr>
            <w:tcW w:w="2472" w:type="pct"/>
            <w:noWrap w:val="0"/>
            <w:vAlign w:val="center"/>
          </w:tcPr>
          <w:p w14:paraId="583F65E8">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有效的投标报价中的最低价为评标基准价，按照下列公式计算每个投标人的投标价格得分。</w:t>
            </w:r>
          </w:p>
          <w:p w14:paraId="4C289071">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投标报价得分＝（评标基准价/投标报价）×价格权重×100。</w:t>
            </w:r>
          </w:p>
        </w:tc>
        <w:tc>
          <w:tcPr>
            <w:tcW w:w="1120" w:type="pct"/>
            <w:noWrap w:val="0"/>
            <w:vAlign w:val="center"/>
          </w:tcPr>
          <w:p w14:paraId="0EF3AD01">
            <w:pPr>
              <w:ind w:left="-38"/>
              <w:rPr>
                <w:rFonts w:hint="eastAsia" w:ascii="方正仿宋_GBK" w:hAnsi="宋体" w:eastAsia="方正仿宋_GBK"/>
                <w:color w:val="auto"/>
                <w:sz w:val="21"/>
                <w:szCs w:val="21"/>
                <w:highlight w:val="none"/>
              </w:rPr>
            </w:pPr>
            <w:r>
              <w:rPr>
                <w:rFonts w:hint="eastAsia" w:ascii="方正仿宋_GBK" w:hAnsi="宋体" w:eastAsia="方正仿宋_GBK"/>
                <w:color w:val="auto"/>
                <w:sz w:val="21"/>
                <w:szCs w:val="21"/>
                <w:highlight w:val="none"/>
              </w:rPr>
              <w:t>对小微企业的价格用扣除后的价格参与评审，详见“（二）关于小微企业报价扣除比例说明”。</w:t>
            </w:r>
          </w:p>
        </w:tc>
      </w:tr>
      <w:tr w14:paraId="36CD2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 w:type="pct"/>
            <w:vMerge w:val="restart"/>
            <w:noWrap w:val="0"/>
            <w:vAlign w:val="center"/>
          </w:tcPr>
          <w:p w14:paraId="5112AC87">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2</w:t>
            </w:r>
          </w:p>
        </w:tc>
        <w:tc>
          <w:tcPr>
            <w:tcW w:w="867" w:type="pct"/>
            <w:gridSpan w:val="2"/>
            <w:vMerge w:val="restart"/>
            <w:noWrap w:val="0"/>
            <w:vAlign w:val="center"/>
          </w:tcPr>
          <w:p w14:paraId="0E2D2B33">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服务部分</w:t>
            </w:r>
          </w:p>
          <w:p w14:paraId="02ADEDF7">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w:t>
            </w:r>
            <w:r>
              <w:rPr>
                <w:rFonts w:hint="eastAsia" w:ascii="方正仿宋_GBK" w:eastAsia="方正仿宋_GBK"/>
                <w:color w:val="auto"/>
                <w:sz w:val="21"/>
                <w:szCs w:val="21"/>
                <w:highlight w:val="none"/>
                <w:lang w:val="en-US" w:eastAsia="zh-CN"/>
              </w:rPr>
              <w:t>60</w:t>
            </w:r>
            <w:r>
              <w:rPr>
                <w:rFonts w:hint="eastAsia" w:ascii="方正仿宋_GBK" w:eastAsia="方正仿宋_GBK"/>
                <w:color w:val="auto"/>
                <w:sz w:val="21"/>
                <w:szCs w:val="21"/>
                <w:highlight w:val="none"/>
              </w:rPr>
              <w:t>%）</w:t>
            </w:r>
          </w:p>
        </w:tc>
        <w:tc>
          <w:tcPr>
            <w:tcW w:w="277" w:type="pct"/>
            <w:vMerge w:val="restart"/>
            <w:noWrap w:val="0"/>
            <w:vAlign w:val="center"/>
          </w:tcPr>
          <w:p w14:paraId="167BEDBB">
            <w:pPr>
              <w:spacing w:line="280" w:lineRule="exact"/>
              <w:jc w:val="center"/>
              <w:rPr>
                <w:rFonts w:hint="default"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60</w:t>
            </w:r>
          </w:p>
        </w:tc>
        <w:tc>
          <w:tcPr>
            <w:tcW w:w="2472" w:type="pct"/>
            <w:noWrap w:val="0"/>
            <w:vAlign w:val="center"/>
          </w:tcPr>
          <w:p w14:paraId="469E91B0">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A起评分：</w:t>
            </w:r>
          </w:p>
          <w:p w14:paraId="6C4EA231">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有效投标人的起评分为</w:t>
            </w:r>
            <w:r>
              <w:rPr>
                <w:rFonts w:hint="eastAsia" w:ascii="方正仿宋_GBK" w:eastAsia="方正仿宋_GBK"/>
                <w:color w:val="auto"/>
                <w:sz w:val="21"/>
                <w:szCs w:val="21"/>
                <w:highlight w:val="none"/>
                <w:lang w:val="en-US" w:eastAsia="zh-CN"/>
              </w:rPr>
              <w:t>20</w:t>
            </w:r>
            <w:r>
              <w:rPr>
                <w:rFonts w:hint="eastAsia" w:ascii="方正仿宋_GBK" w:eastAsia="方正仿宋_GBK"/>
                <w:color w:val="auto"/>
                <w:sz w:val="21"/>
                <w:szCs w:val="21"/>
                <w:highlight w:val="none"/>
              </w:rPr>
              <w:t>分。</w:t>
            </w:r>
          </w:p>
        </w:tc>
        <w:tc>
          <w:tcPr>
            <w:tcW w:w="1120" w:type="pct"/>
            <w:noWrap w:val="0"/>
            <w:vAlign w:val="center"/>
          </w:tcPr>
          <w:p w14:paraId="392BB978">
            <w:pPr>
              <w:spacing w:line="280" w:lineRule="exact"/>
              <w:rPr>
                <w:rFonts w:hint="eastAsia" w:ascii="方正仿宋_GBK" w:eastAsia="方正仿宋_GBK"/>
                <w:color w:val="auto"/>
                <w:sz w:val="21"/>
                <w:szCs w:val="21"/>
                <w:highlight w:val="none"/>
              </w:rPr>
            </w:pPr>
          </w:p>
        </w:tc>
      </w:tr>
      <w:tr w14:paraId="75FD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 w:type="pct"/>
            <w:vMerge w:val="continue"/>
            <w:noWrap w:val="0"/>
            <w:vAlign w:val="center"/>
          </w:tcPr>
          <w:p w14:paraId="6C8CA3C3">
            <w:pPr>
              <w:spacing w:line="280" w:lineRule="exact"/>
              <w:jc w:val="center"/>
              <w:rPr>
                <w:rFonts w:hint="eastAsia" w:ascii="方正仿宋_GBK" w:eastAsia="方正仿宋_GBK"/>
                <w:color w:val="auto"/>
                <w:sz w:val="21"/>
                <w:szCs w:val="21"/>
                <w:highlight w:val="none"/>
              </w:rPr>
            </w:pPr>
          </w:p>
        </w:tc>
        <w:tc>
          <w:tcPr>
            <w:tcW w:w="867" w:type="pct"/>
            <w:gridSpan w:val="2"/>
            <w:vMerge w:val="continue"/>
            <w:noWrap w:val="0"/>
            <w:vAlign w:val="center"/>
          </w:tcPr>
          <w:p w14:paraId="610AE666">
            <w:pPr>
              <w:spacing w:line="280" w:lineRule="exact"/>
              <w:jc w:val="center"/>
              <w:rPr>
                <w:rFonts w:hint="eastAsia" w:ascii="方正仿宋_GBK" w:eastAsia="方正仿宋_GBK"/>
                <w:color w:val="auto"/>
                <w:sz w:val="21"/>
                <w:szCs w:val="21"/>
                <w:highlight w:val="none"/>
              </w:rPr>
            </w:pPr>
          </w:p>
        </w:tc>
        <w:tc>
          <w:tcPr>
            <w:tcW w:w="277" w:type="pct"/>
            <w:vMerge w:val="continue"/>
            <w:noWrap w:val="0"/>
            <w:vAlign w:val="center"/>
          </w:tcPr>
          <w:p w14:paraId="2E2E68FA">
            <w:pPr>
              <w:spacing w:line="280" w:lineRule="exact"/>
              <w:jc w:val="center"/>
              <w:rPr>
                <w:rFonts w:hint="eastAsia" w:ascii="方正仿宋_GBK" w:eastAsia="方正仿宋_GBK"/>
                <w:color w:val="auto"/>
                <w:sz w:val="21"/>
                <w:szCs w:val="21"/>
                <w:highlight w:val="none"/>
              </w:rPr>
            </w:pPr>
          </w:p>
        </w:tc>
        <w:tc>
          <w:tcPr>
            <w:tcW w:w="2472" w:type="pct"/>
            <w:noWrap w:val="0"/>
            <w:vAlign w:val="center"/>
          </w:tcPr>
          <w:p w14:paraId="2AD1B3F3">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C扣分条款：</w:t>
            </w:r>
          </w:p>
          <w:p w14:paraId="36A43050">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1.投标文件投标应答有一条不满足（负偏离）招标文件重要技术需求的（标注符号▲，共</w:t>
            </w:r>
            <w:r>
              <w:rPr>
                <w:rFonts w:hint="eastAsia" w:ascii="方正仿宋_GBK" w:eastAsia="方正仿宋_GBK"/>
                <w:color w:val="auto"/>
                <w:sz w:val="21"/>
                <w:szCs w:val="21"/>
                <w:highlight w:val="none"/>
                <w:lang w:val="en-US" w:eastAsia="zh-CN"/>
              </w:rPr>
              <w:t>28</w:t>
            </w:r>
            <w:r>
              <w:rPr>
                <w:rFonts w:hint="eastAsia" w:ascii="方正仿宋_GBK" w:eastAsia="方正仿宋_GBK"/>
                <w:color w:val="auto"/>
                <w:sz w:val="21"/>
                <w:szCs w:val="21"/>
                <w:highlight w:val="none"/>
              </w:rPr>
              <w:t>条），每负偏离1条扣除</w:t>
            </w:r>
            <w:r>
              <w:rPr>
                <w:rFonts w:hint="eastAsia" w:ascii="方正仿宋_GBK" w:eastAsia="方正仿宋_GBK"/>
                <w:color w:val="auto"/>
                <w:sz w:val="21"/>
                <w:szCs w:val="21"/>
                <w:highlight w:val="none"/>
                <w:lang w:val="en-US" w:eastAsia="zh-CN"/>
              </w:rPr>
              <w:t>0.6</w:t>
            </w:r>
            <w:r>
              <w:rPr>
                <w:rFonts w:hint="eastAsia" w:ascii="方正仿宋_GBK" w:eastAsia="方正仿宋_GBK"/>
                <w:color w:val="auto"/>
                <w:sz w:val="21"/>
                <w:szCs w:val="21"/>
                <w:highlight w:val="none"/>
              </w:rPr>
              <w:t>分。</w:t>
            </w:r>
          </w:p>
          <w:p w14:paraId="6A50FD8B">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2.投标文件投标应答有一条不满足（负偏离）招标文件一般性技术需求的（标注符号○，共</w:t>
            </w:r>
            <w:r>
              <w:rPr>
                <w:rFonts w:hint="eastAsia" w:ascii="方正仿宋_GBK" w:eastAsia="方正仿宋_GBK"/>
                <w:color w:val="auto"/>
                <w:sz w:val="21"/>
                <w:szCs w:val="21"/>
                <w:highlight w:val="none"/>
                <w:lang w:val="en-US" w:eastAsia="zh-CN"/>
              </w:rPr>
              <w:t>8</w:t>
            </w:r>
            <w:r>
              <w:rPr>
                <w:rFonts w:hint="eastAsia" w:ascii="方正仿宋_GBK" w:eastAsia="方正仿宋_GBK"/>
                <w:color w:val="auto"/>
                <w:sz w:val="21"/>
                <w:szCs w:val="21"/>
                <w:highlight w:val="none"/>
              </w:rPr>
              <w:t>条），每负偏离1条扣除</w:t>
            </w:r>
            <w:r>
              <w:rPr>
                <w:rFonts w:hint="eastAsia" w:ascii="方正仿宋_GBK" w:eastAsia="方正仿宋_GBK"/>
                <w:color w:val="auto"/>
                <w:sz w:val="21"/>
                <w:szCs w:val="21"/>
                <w:highlight w:val="none"/>
                <w:lang w:val="en-US" w:eastAsia="zh-CN"/>
              </w:rPr>
              <w:t>0.4分</w:t>
            </w:r>
            <w:r>
              <w:rPr>
                <w:rFonts w:hint="eastAsia" w:ascii="方正仿宋_GBK" w:eastAsia="方正仿宋_GBK"/>
                <w:color w:val="auto"/>
                <w:sz w:val="21"/>
                <w:szCs w:val="21"/>
                <w:highlight w:val="none"/>
              </w:rPr>
              <w:t>。</w:t>
            </w:r>
          </w:p>
        </w:tc>
        <w:tc>
          <w:tcPr>
            <w:tcW w:w="1120" w:type="pct"/>
            <w:noWrap w:val="0"/>
            <w:vAlign w:val="center"/>
          </w:tcPr>
          <w:p w14:paraId="54BF4761">
            <w:pPr>
              <w:spacing w:line="280" w:lineRule="exact"/>
              <w:rPr>
                <w:rFonts w:hint="eastAsia" w:ascii="方正仿宋_GBK" w:hAnsi="方正仿宋_GBK" w:eastAsia="方正仿宋_GBK" w:cs="方正仿宋_GBK"/>
                <w:b/>
                <w:bCs/>
                <w:color w:val="auto"/>
                <w:sz w:val="21"/>
                <w:szCs w:val="21"/>
                <w:highlight w:val="none"/>
              </w:rPr>
            </w:pPr>
          </w:p>
        </w:tc>
      </w:tr>
      <w:tr w14:paraId="6D52D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1" w:type="pct"/>
            <w:vMerge w:val="continue"/>
            <w:noWrap w:val="0"/>
            <w:vAlign w:val="center"/>
          </w:tcPr>
          <w:p w14:paraId="6157B3B4">
            <w:pPr>
              <w:spacing w:line="280" w:lineRule="exact"/>
              <w:rPr>
                <w:rFonts w:hint="eastAsia" w:ascii="方正仿宋_GBK" w:eastAsia="方正仿宋_GBK"/>
                <w:color w:val="auto"/>
                <w:sz w:val="21"/>
                <w:szCs w:val="21"/>
                <w:highlight w:val="none"/>
              </w:rPr>
            </w:pPr>
          </w:p>
        </w:tc>
        <w:tc>
          <w:tcPr>
            <w:tcW w:w="867" w:type="pct"/>
            <w:gridSpan w:val="2"/>
            <w:vMerge w:val="continue"/>
            <w:noWrap w:val="0"/>
            <w:vAlign w:val="center"/>
          </w:tcPr>
          <w:p w14:paraId="31AF8183">
            <w:pPr>
              <w:spacing w:line="280" w:lineRule="exact"/>
              <w:rPr>
                <w:rFonts w:hint="eastAsia" w:ascii="方正仿宋_GBK" w:eastAsia="方正仿宋_GBK"/>
                <w:color w:val="auto"/>
                <w:sz w:val="21"/>
                <w:szCs w:val="21"/>
                <w:highlight w:val="none"/>
              </w:rPr>
            </w:pPr>
          </w:p>
        </w:tc>
        <w:tc>
          <w:tcPr>
            <w:tcW w:w="277" w:type="pct"/>
            <w:vMerge w:val="continue"/>
            <w:noWrap w:val="0"/>
            <w:vAlign w:val="center"/>
          </w:tcPr>
          <w:p w14:paraId="790AAB12">
            <w:pPr>
              <w:spacing w:line="280" w:lineRule="exact"/>
              <w:rPr>
                <w:rFonts w:hint="eastAsia" w:ascii="方正仿宋_GBK" w:eastAsia="方正仿宋_GBK"/>
                <w:color w:val="auto"/>
                <w:sz w:val="21"/>
                <w:szCs w:val="21"/>
                <w:highlight w:val="none"/>
              </w:rPr>
            </w:pPr>
          </w:p>
        </w:tc>
        <w:tc>
          <w:tcPr>
            <w:tcW w:w="2472" w:type="pct"/>
            <w:noWrap w:val="0"/>
            <w:vAlign w:val="center"/>
          </w:tcPr>
          <w:p w14:paraId="5BDB233D">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B加分条款：</w:t>
            </w:r>
          </w:p>
          <w:p w14:paraId="4F24197C">
            <w:pPr>
              <w:numPr>
                <w:ilvl w:val="0"/>
                <w:numId w:val="0"/>
              </w:num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1.根据项目实际情况制定洗涤服务方案，包含但不限于一般洗涤物品、医用织物及感染性织物的洗涤、折叠、熨烫和运输等服务方案，方案符合WS/T 508-2025要求，并在方案中说明具体保障措施；服务流程方案、服务质量控制方案等。针对投标人提供的方案进行评审（10分）。</w:t>
            </w:r>
          </w:p>
          <w:p w14:paraId="0BC92524">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（1）方案内容不存在瑕疵得10分；</w:t>
            </w:r>
          </w:p>
          <w:p w14:paraId="6AD953F4">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（2）方案内容存在1处瑕疵得8分；</w:t>
            </w:r>
          </w:p>
          <w:p w14:paraId="3AAFEFCF">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（3）方案内容存在2处瑕疵得6分；</w:t>
            </w:r>
          </w:p>
          <w:p w14:paraId="471BFA45">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（4）方案内容存在3处瑕疵得4分；</w:t>
            </w:r>
          </w:p>
          <w:p w14:paraId="768AF205">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（5）方案内容存在4处及以上瑕疵的或未提供得0分。</w:t>
            </w:r>
          </w:p>
          <w:p w14:paraId="50D7CFC7">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2.针对采购人洗涤内容及要求，制定人员配置、培训及管理方案，内容包含但不限于本项目人员配置、符合岗位相关的专业知识培训、项目管理机构、制度职责、工作职能组织运行、本项目工作人员的职责分工、考核等。针对投标人提供的方案进行评审（10分）。</w:t>
            </w:r>
          </w:p>
          <w:p w14:paraId="27E23525">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（1）方案内容不存在瑕疵得10分；</w:t>
            </w:r>
          </w:p>
          <w:p w14:paraId="454B6E03">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（2）方案内容存在1处瑕疵得8分；</w:t>
            </w:r>
          </w:p>
          <w:p w14:paraId="5E7DDE19">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（3）方案内容存在2处瑕疵得6分；</w:t>
            </w:r>
          </w:p>
          <w:p w14:paraId="04BF452F">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（4）方案内容存在3处瑕疵得4分；</w:t>
            </w:r>
          </w:p>
          <w:p w14:paraId="7F76E28F">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（5）方案内容存在4处及以上瑕疵的或未提供得0分。</w:t>
            </w:r>
          </w:p>
          <w:p w14:paraId="178ED2E0">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3.针对本项目实际情况制定突发事件的应急预案，包含但不限于针对设备故障、供水供电中断、应急组织机构的建立、应急响应和组织实施、物资调拨和协调等。针对投标人提供的方案进行评审（10分）。</w:t>
            </w:r>
          </w:p>
          <w:p w14:paraId="511537E4">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（1）方案内容不存在瑕疵得10分；</w:t>
            </w:r>
          </w:p>
          <w:p w14:paraId="6FA652CC">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（2）方案内容存在1处瑕疵得8分；</w:t>
            </w:r>
          </w:p>
          <w:p w14:paraId="2883218B">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（3）方案内容存在2处瑕疵得6分；</w:t>
            </w:r>
          </w:p>
          <w:p w14:paraId="3A69429C">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（4）方案内容存在3处瑕疵得4分；</w:t>
            </w:r>
          </w:p>
          <w:p w14:paraId="52900F4A">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（5）方案内容存在4处及以上瑕疵的或未提供得0分。</w:t>
            </w:r>
          </w:p>
          <w:p w14:paraId="10E9AAA3">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4.针对本项目院感制定方案，包含但不限于感染性织物处置、洗涤消毒工艺流程、洁污分区管控、人员防护、转运工具消毒、感染相关突发事件处置及配合采购人院感检查整改等内容。针对投标人提供的方案进行评审（10分）。</w:t>
            </w:r>
          </w:p>
          <w:p w14:paraId="46C1BF30">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（1）方案内容不存在瑕疵得10分；</w:t>
            </w:r>
          </w:p>
          <w:p w14:paraId="5BA66AFC">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（2）方案内容存在1处瑕疵得8分；</w:t>
            </w:r>
          </w:p>
          <w:p w14:paraId="4F8B508C">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（3）方案内容存在2处瑕疵得6分；</w:t>
            </w:r>
          </w:p>
          <w:p w14:paraId="55A8BA31">
            <w:pPr>
              <w:spacing w:line="280" w:lineRule="exact"/>
              <w:rPr>
                <w:rFonts w:hint="eastAsia"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（4）方案内容存在3处瑕疵得4分；</w:t>
            </w:r>
          </w:p>
          <w:p w14:paraId="0D5E2E79">
            <w:pPr>
              <w:spacing w:line="280" w:lineRule="exact"/>
              <w:rPr>
                <w:rFonts w:hint="default"/>
                <w:color w:val="auto"/>
                <w:highlight w:val="none"/>
                <w:lang w:val="en-US" w:eastAsia="zh-CN"/>
              </w:rPr>
            </w:pPr>
            <w:r>
              <w:rPr>
                <w:rFonts w:hint="eastAsia" w:ascii="方正仿宋_GBK" w:eastAsia="方正仿宋_GBK"/>
                <w:color w:val="auto"/>
                <w:sz w:val="21"/>
                <w:szCs w:val="21"/>
                <w:highlight w:val="none"/>
                <w:lang w:val="en-US" w:eastAsia="zh-CN"/>
              </w:rPr>
              <w:t>（5）方案内容存在4处及以上瑕疵的或未提供得0分。</w:t>
            </w:r>
          </w:p>
        </w:tc>
        <w:tc>
          <w:tcPr>
            <w:tcW w:w="1120" w:type="pct"/>
            <w:noWrap w:val="0"/>
            <w:vAlign w:val="center"/>
          </w:tcPr>
          <w:p w14:paraId="0027A445">
            <w:pPr>
              <w:rPr>
                <w:color w:val="auto"/>
                <w:sz w:val="21"/>
                <w:szCs w:val="21"/>
                <w:highlight w:val="none"/>
              </w:rPr>
            </w:pPr>
            <w:r>
              <w:rPr>
                <w:rFonts w:hint="eastAsia" w:ascii="方正仿宋_GBK" w:eastAsia="方正仿宋_GBK"/>
                <w:color w:val="auto"/>
                <w:sz w:val="21"/>
                <w:szCs w:val="21"/>
                <w:highlight w:val="none"/>
              </w:rPr>
              <w:t>注：本项内容中所称的“瑕疵”指以下内容：①方案内容缺项、内容表述不完整或缺少以上1-</w:t>
            </w:r>
            <w:r>
              <w:rPr>
                <w:rFonts w:hint="eastAsia" w:ascii="方正仿宋_GBK" w:eastAsia="方正仿宋_GBK"/>
                <w:color w:val="auto"/>
                <w:sz w:val="21"/>
                <w:szCs w:val="21"/>
                <w:highlight w:val="none"/>
                <w:lang w:val="en-US" w:eastAsia="zh-CN"/>
              </w:rPr>
              <w:t>10</w:t>
            </w:r>
            <w:r>
              <w:rPr>
                <w:rFonts w:hint="eastAsia" w:ascii="方正仿宋_GBK" w:eastAsia="方正仿宋_GBK"/>
                <w:color w:val="auto"/>
                <w:sz w:val="21"/>
                <w:szCs w:val="21"/>
                <w:highlight w:val="none"/>
              </w:rPr>
              <w:t>中任意一项内容的针对性分析或情况介绍；②方案内容表述前后矛盾、无连贯性；③内容表述不完整或缺少关键分析点，计划及措施不科学，常识性错误；④服务团队配置及职责分工不明确，服务人员经验和资质不足，人员管理措施不到位，提供的人员数量不足以支撑本项目正常服务实施；⑤设备设施工具配备情况配备不够齐全、不符合院感控制；⑥院感控制方案不符合医院环境，不具备实施条件；⑦项目应急方案并无体现应急时效性的，应急措施不适用本项目和采购人单位实际情况；⑧技术措施保障安排并不适用本项目特性或非专门针对本项目制定；⑨方案中提出的措施举措不利于本项目目标的实现；⑩现有技术条件下不可能出现的情形等任意一种情形。</w:t>
            </w:r>
          </w:p>
          <w:p w14:paraId="6A240FB6">
            <w:pPr>
              <w:spacing w:line="280" w:lineRule="exact"/>
              <w:rPr>
                <w:rFonts w:hint="eastAsia" w:ascii="方正仿宋_GBK" w:eastAsia="方正仿宋_GBK"/>
                <w:color w:val="auto"/>
                <w:sz w:val="21"/>
                <w:szCs w:val="21"/>
                <w:highlight w:val="none"/>
              </w:rPr>
            </w:pPr>
          </w:p>
        </w:tc>
      </w:tr>
      <w:tr w14:paraId="304F0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0" w:hRule="atLeast"/>
          <w:jc w:val="center"/>
        </w:trPr>
        <w:tc>
          <w:tcPr>
            <w:tcW w:w="261" w:type="pct"/>
            <w:noWrap w:val="0"/>
            <w:vAlign w:val="center"/>
          </w:tcPr>
          <w:p w14:paraId="5098A241">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3</w:t>
            </w:r>
          </w:p>
        </w:tc>
        <w:tc>
          <w:tcPr>
            <w:tcW w:w="261" w:type="pct"/>
            <w:noWrap w:val="0"/>
            <w:vAlign w:val="center"/>
          </w:tcPr>
          <w:p w14:paraId="78A7E368">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商务部分</w:t>
            </w:r>
          </w:p>
        </w:tc>
        <w:tc>
          <w:tcPr>
            <w:tcW w:w="605" w:type="pct"/>
            <w:noWrap w:val="0"/>
            <w:vAlign w:val="center"/>
          </w:tcPr>
          <w:p w14:paraId="2598B64D">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业绩</w:t>
            </w:r>
          </w:p>
          <w:p w14:paraId="0FBD890F">
            <w:pPr>
              <w:spacing w:line="280" w:lineRule="exact"/>
              <w:jc w:val="center"/>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w:t>
            </w:r>
            <w:r>
              <w:rPr>
                <w:rFonts w:hint="eastAsia" w:ascii="方正仿宋_GBK" w:eastAsia="方正仿宋_GBK"/>
                <w:color w:val="auto"/>
                <w:sz w:val="21"/>
                <w:szCs w:val="21"/>
                <w:highlight w:val="none"/>
                <w:lang w:val="en-US" w:eastAsia="zh-CN"/>
              </w:rPr>
              <w:t>10</w:t>
            </w:r>
            <w:r>
              <w:rPr>
                <w:rFonts w:hint="eastAsia" w:ascii="方正仿宋_GBK" w:eastAsia="方正仿宋_GBK"/>
                <w:color w:val="auto"/>
                <w:sz w:val="21"/>
                <w:szCs w:val="21"/>
                <w:highlight w:val="none"/>
              </w:rPr>
              <w:t>%）</w:t>
            </w:r>
          </w:p>
        </w:tc>
        <w:tc>
          <w:tcPr>
            <w:tcW w:w="277" w:type="pct"/>
            <w:noWrap w:val="0"/>
            <w:vAlign w:val="center"/>
          </w:tcPr>
          <w:p w14:paraId="1A9FA9D5">
            <w:pPr>
              <w:spacing w:line="280" w:lineRule="exact"/>
              <w:jc w:val="center"/>
              <w:rPr>
                <w:rFonts w:hint="default" w:ascii="方正仿宋_GBK" w:eastAsia="方正仿宋_GBK"/>
                <w:color w:val="auto"/>
                <w:sz w:val="21"/>
                <w:szCs w:val="21"/>
                <w:highlight w:val="none"/>
                <w:lang w:val="en-US" w:eastAsia="zh-CN"/>
              </w:rPr>
            </w:pPr>
            <w:r>
              <w:rPr>
                <w:rFonts w:hint="eastAsia" w:ascii="方正仿宋_GBK" w:eastAsia="方正仿宋_GBK"/>
                <w:color w:val="auto"/>
                <w:sz w:val="21"/>
                <w:szCs w:val="21"/>
                <w:highlight w:val="none"/>
                <w:lang w:val="en-US" w:eastAsia="zh-CN"/>
              </w:rPr>
              <w:t>10</w:t>
            </w:r>
          </w:p>
        </w:tc>
        <w:tc>
          <w:tcPr>
            <w:tcW w:w="2472" w:type="pct"/>
            <w:noWrap w:val="0"/>
            <w:vAlign w:val="center"/>
          </w:tcPr>
          <w:p w14:paraId="7283249F">
            <w:pPr>
              <w:numPr>
                <w:ilvl w:val="0"/>
                <w:numId w:val="0"/>
              </w:numPr>
              <w:spacing w:line="280" w:lineRule="exact"/>
              <w:rPr>
                <w:rFonts w:hint="eastAsia"/>
                <w:color w:val="auto"/>
                <w:highlight w:val="none"/>
              </w:rPr>
            </w:pPr>
            <w:r>
              <w:rPr>
                <w:rFonts w:hint="eastAsia" w:ascii="方正仿宋_GBK" w:eastAsia="方正仿宋_GBK"/>
                <w:color w:val="auto"/>
                <w:sz w:val="21"/>
                <w:szCs w:val="21"/>
                <w:highlight w:val="none"/>
              </w:rPr>
              <w:t>投标人202</w:t>
            </w:r>
            <w:r>
              <w:rPr>
                <w:rFonts w:hint="eastAsia" w:ascii="方正仿宋_GBK" w:eastAsia="方正仿宋_GBK"/>
                <w:color w:val="auto"/>
                <w:sz w:val="21"/>
                <w:szCs w:val="21"/>
                <w:highlight w:val="none"/>
                <w:lang w:val="en-US" w:eastAsia="zh-CN"/>
              </w:rPr>
              <w:t>4</w:t>
            </w:r>
            <w:r>
              <w:rPr>
                <w:rFonts w:hint="eastAsia" w:ascii="方正仿宋_GBK" w:eastAsia="方正仿宋_GBK"/>
                <w:color w:val="auto"/>
                <w:sz w:val="21"/>
                <w:szCs w:val="21"/>
                <w:highlight w:val="none"/>
              </w:rPr>
              <w:t>年至今有类似服务业绩，</w:t>
            </w:r>
            <w:r>
              <w:rPr>
                <w:rFonts w:hint="eastAsia" w:ascii="方正仿宋_GBK" w:eastAsia="方正仿宋_GBK"/>
                <w:color w:val="auto"/>
                <w:sz w:val="21"/>
                <w:szCs w:val="21"/>
                <w:highlight w:val="none"/>
                <w:lang w:val="en-US" w:eastAsia="zh-CN"/>
              </w:rPr>
              <w:t>一份得2分，最高得10分</w:t>
            </w:r>
          </w:p>
        </w:tc>
        <w:tc>
          <w:tcPr>
            <w:tcW w:w="1120" w:type="pct"/>
            <w:tcBorders>
              <w:bottom w:val="single" w:color="auto" w:sz="4" w:space="0"/>
            </w:tcBorders>
            <w:noWrap w:val="0"/>
            <w:vAlign w:val="center"/>
          </w:tcPr>
          <w:p w14:paraId="604A85FB">
            <w:pPr>
              <w:spacing w:line="280" w:lineRule="exact"/>
              <w:rPr>
                <w:rFonts w:hint="eastAsia" w:ascii="方正仿宋_GBK" w:eastAsia="方正仿宋_GBK"/>
                <w:color w:val="auto"/>
                <w:sz w:val="21"/>
                <w:szCs w:val="21"/>
                <w:highlight w:val="none"/>
              </w:rPr>
            </w:pPr>
            <w:r>
              <w:rPr>
                <w:rFonts w:hint="eastAsia" w:ascii="方正仿宋_GBK" w:eastAsia="方正仿宋_GBK"/>
                <w:color w:val="auto"/>
                <w:sz w:val="21"/>
                <w:szCs w:val="21"/>
                <w:highlight w:val="none"/>
              </w:rPr>
              <w:t>提供业绩合同</w:t>
            </w:r>
            <w:r>
              <w:rPr>
                <w:rFonts w:hint="eastAsia" w:ascii="方正仿宋_GBK" w:eastAsia="方正仿宋_GBK"/>
                <w:color w:val="auto"/>
                <w:sz w:val="21"/>
                <w:szCs w:val="21"/>
                <w:highlight w:val="none"/>
                <w:lang w:val="en-US" w:eastAsia="zh-CN"/>
              </w:rPr>
              <w:t>和中标通知书</w:t>
            </w:r>
          </w:p>
        </w:tc>
      </w:tr>
    </w:tbl>
    <w:p w14:paraId="77B3E39E">
      <w:pPr>
        <w:jc w:val="both"/>
        <w:rPr>
          <w:rFonts w:hint="default" w:ascii="方正小标宋_GBK" w:hAnsi="方正小标宋_GBK" w:eastAsia="方正小标宋_GBK" w:cs="方正小标宋_GBK"/>
          <w:color w:val="auto"/>
          <w:sz w:val="32"/>
          <w:szCs w:val="32"/>
          <w:highlight w:val="none"/>
          <w:lang w:val="en-US" w:eastAsia="zh-CN"/>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embedRegular r:id="rId1" w:fontKey="{CAE2AB09-F7FA-48E2-9B83-200F27355708}"/>
  </w:font>
  <w:font w:name="方正仿宋_GBK">
    <w:panose1 w:val="03000509000000000000"/>
    <w:charset w:val="86"/>
    <w:family w:val="script"/>
    <w:pitch w:val="default"/>
    <w:sig w:usb0="00000001" w:usb1="080E0000" w:usb2="00000000" w:usb3="00000000" w:csb0="00040000" w:csb1="00000000"/>
    <w:embedRegular r:id="rId2" w:fontKey="{1799D79D-4A94-4597-886F-1A348D5AC56B}"/>
  </w:font>
  <w:font w:name="方正仿宋_GB2312">
    <w:panose1 w:val="02000000000000000000"/>
    <w:charset w:val="86"/>
    <w:family w:val="auto"/>
    <w:pitch w:val="default"/>
    <w:sig w:usb0="A00002BF" w:usb1="184F6CFA" w:usb2="00000012" w:usb3="00000000" w:csb0="00040001" w:csb1="00000000"/>
    <w:embedRegular r:id="rId3" w:fontKey="{1B54E2E8-741B-4B44-BF29-FE9AC0E831E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BD58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AF7115E">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AF7115E">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BE789F"/>
    <w:multiLevelType w:val="singleLevel"/>
    <w:tmpl w:val="AEBE789F"/>
    <w:lvl w:ilvl="0" w:tentative="0">
      <w:start w:val="9"/>
      <w:numFmt w:val="decimal"/>
      <w:suff w:val="nothing"/>
      <w:lvlText w:val="%1）"/>
      <w:lvlJc w:val="left"/>
    </w:lvl>
  </w:abstractNum>
  <w:abstractNum w:abstractNumId="1">
    <w:nsid w:val="C3AFEBDB"/>
    <w:multiLevelType w:val="singleLevel"/>
    <w:tmpl w:val="C3AFEBDB"/>
    <w:lvl w:ilvl="0" w:tentative="0">
      <w:start w:val="10"/>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524888"/>
    <w:rsid w:val="048C0506"/>
    <w:rsid w:val="16302145"/>
    <w:rsid w:val="1C4F709D"/>
    <w:rsid w:val="1E3F1FDA"/>
    <w:rsid w:val="3D446B64"/>
    <w:rsid w:val="48CE7418"/>
    <w:rsid w:val="4C9414B3"/>
    <w:rsid w:val="51E22A1D"/>
    <w:rsid w:val="52374F91"/>
    <w:rsid w:val="53524888"/>
    <w:rsid w:val="53586243"/>
    <w:rsid w:val="540C39F4"/>
    <w:rsid w:val="55200136"/>
    <w:rsid w:val="57482A8C"/>
    <w:rsid w:val="5B8677D5"/>
    <w:rsid w:val="60B151FE"/>
    <w:rsid w:val="62CD228B"/>
    <w:rsid w:val="63557839"/>
    <w:rsid w:val="71F62ACD"/>
    <w:rsid w:val="72094B9E"/>
    <w:rsid w:val="72195425"/>
    <w:rsid w:val="75E00689"/>
    <w:rsid w:val="76F0487A"/>
    <w:rsid w:val="78DD15A5"/>
    <w:rsid w:val="793C456F"/>
    <w:rsid w:val="7C653614"/>
    <w:rsid w:val="7F84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2">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8">
    <w:name w:val="NormalCharacter"/>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Pages>
  <Words>6525</Words>
  <Characters>6722</Characters>
  <Lines>0</Lines>
  <Paragraphs>0</Paragraphs>
  <TotalTime>4</TotalTime>
  <ScaleCrop>false</ScaleCrop>
  <LinksUpToDate>false</LinksUpToDate>
  <CharactersWithSpaces>6722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2026-07-08T06:32:00Z</dcterms:created>
  <dc:creator>小朋友提不起劲</dc:creator>
  <cp:lastModifiedBy>小朋友提不起劲</cp:lastModifiedBy>
  <dcterms:modified xsi:type="dcterms:W3CDTF">2026-10-19T01:16:19Z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7F9092AE12B9478E8B706A301CB7B47C_11</vt:lpwstr>
  </property>
  <property fmtid="{D5CDD505-2E9C-101B-9397-08002B2CF9AE}" pid="4" name="KSOTemplateDocerSaveRecord">
    <vt:lpwstr>eyJoZGlkIjoiZTk0NTNmNjk1YTkyNzIzNThjNjFmNDhiYWFhNWU0NTciLCJ1c2VySWQiOiI1NzIyNzMxMjMifQ==</vt:lpwstr>
  </property>
</Properties>
</file>